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590"/>
      </w:tblGrid>
      <w:tr w:rsidR="00EB5EC8" w:rsidRPr="002168F4" w14:paraId="32B6FC6B" w14:textId="77777777" w:rsidTr="00A11E73">
        <w:trPr>
          <w:cantSplit/>
        </w:trPr>
        <w:tc>
          <w:tcPr>
            <w:tcW w:w="9142" w:type="dxa"/>
            <w:gridSpan w:val="2"/>
            <w:tcBorders>
              <w:top w:val="nil"/>
              <w:left w:val="nil"/>
              <w:bottom w:val="nil"/>
              <w:right w:val="nil"/>
            </w:tcBorders>
          </w:tcPr>
          <w:p w14:paraId="146646CE" w14:textId="77777777" w:rsidR="00EB5EC8" w:rsidRPr="002168F4" w:rsidRDefault="00EB5EC8" w:rsidP="002E09AB">
            <w:pPr>
              <w:pStyle w:val="Amendement"/>
              <w:rPr>
                <w:rFonts w:ascii="Times New Roman" w:hAnsi="Times New Roman" w:cs="Times New Roman"/>
                <w:b w:val="0"/>
                <w:bCs w:val="0"/>
              </w:rPr>
            </w:pPr>
          </w:p>
        </w:tc>
      </w:tr>
      <w:tr w:rsidR="00CB3578" w:rsidRPr="002168F4" w14:paraId="28215960" w14:textId="77777777" w:rsidTr="00A11E73">
        <w:trPr>
          <w:cantSplit/>
        </w:trPr>
        <w:tc>
          <w:tcPr>
            <w:tcW w:w="9142" w:type="dxa"/>
            <w:gridSpan w:val="2"/>
            <w:tcBorders>
              <w:top w:val="nil"/>
              <w:left w:val="nil"/>
              <w:bottom w:val="nil"/>
              <w:right w:val="nil"/>
            </w:tcBorders>
          </w:tcPr>
          <w:p w14:paraId="30FE5576" w14:textId="77777777" w:rsidR="00CB3578" w:rsidRPr="002168F4" w:rsidRDefault="00CB3578" w:rsidP="002E09AB">
            <w:pPr>
              <w:pStyle w:val="Amendement"/>
              <w:rPr>
                <w:rFonts w:ascii="Times New Roman" w:hAnsi="Times New Roman" w:cs="Times New Roman"/>
                <w:b w:val="0"/>
                <w:bCs w:val="0"/>
              </w:rPr>
            </w:pPr>
          </w:p>
        </w:tc>
      </w:tr>
      <w:tr w:rsidR="00260286" w:rsidRPr="002168F4" w14:paraId="069C67F0" w14:textId="77777777"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14:paraId="226E729F" w14:textId="77777777" w:rsidR="00260286" w:rsidRDefault="0058639B" w:rsidP="00BA6464">
            <w:pPr>
              <w:rPr>
                <w:rFonts w:ascii="Times New Roman" w:hAnsi="Times New Roman"/>
                <w:b/>
                <w:sz w:val="24"/>
              </w:rPr>
            </w:pPr>
            <w:r>
              <w:rPr>
                <w:rFonts w:ascii="Times New Roman" w:hAnsi="Times New Roman"/>
                <w:b/>
                <w:sz w:val="24"/>
              </w:rPr>
              <w:t>35 761</w:t>
            </w:r>
          </w:p>
        </w:tc>
        <w:tc>
          <w:tcPr>
            <w:tcW w:w="6590" w:type="dxa"/>
            <w:tcBorders>
              <w:top w:val="nil"/>
              <w:left w:val="nil"/>
              <w:bottom w:val="nil"/>
              <w:right w:val="nil"/>
            </w:tcBorders>
          </w:tcPr>
          <w:p w14:paraId="023000D4" w14:textId="78D46E5D" w:rsidR="00260286" w:rsidRDefault="0058639B" w:rsidP="00A13A47">
            <w:pPr>
              <w:tabs>
                <w:tab w:val="left" w:pos="284"/>
                <w:tab w:val="left" w:pos="567"/>
                <w:tab w:val="left" w:pos="851"/>
              </w:tabs>
              <w:ind w:right="1848"/>
              <w:rPr>
                <w:rFonts w:ascii="Times New Roman" w:hAnsi="Times New Roman"/>
                <w:b/>
                <w:sz w:val="24"/>
              </w:rPr>
            </w:pPr>
            <w:r w:rsidRPr="0058639B">
              <w:rPr>
                <w:rFonts w:ascii="Times New Roman" w:hAnsi="Times New Roman"/>
                <w:b/>
                <w:color w:val="000000"/>
                <w:sz w:val="24"/>
              </w:rPr>
              <w:t xml:space="preserve">Voorstel van wet van de leden </w:t>
            </w:r>
            <w:bookmarkStart w:id="0" w:name="_Hlk117692030"/>
            <w:r w:rsidR="00F55CF6">
              <w:rPr>
                <w:rFonts w:ascii="Times New Roman" w:hAnsi="Times New Roman"/>
                <w:b/>
                <w:sz w:val="24"/>
              </w:rPr>
              <w:t>Van der Graaf, V</w:t>
            </w:r>
            <w:r w:rsidRPr="0058639B">
              <w:rPr>
                <w:rFonts w:ascii="Times New Roman" w:hAnsi="Times New Roman"/>
                <w:b/>
                <w:sz w:val="24"/>
              </w:rPr>
              <w:t>an Dijk</w:t>
            </w:r>
            <w:r w:rsidR="00F55CF6">
              <w:rPr>
                <w:rFonts w:ascii="Times New Roman" w:hAnsi="Times New Roman"/>
                <w:b/>
                <w:sz w:val="24"/>
              </w:rPr>
              <w:t>, Thijssen,</w:t>
            </w:r>
            <w:r>
              <w:rPr>
                <w:rFonts w:ascii="Times New Roman" w:hAnsi="Times New Roman"/>
                <w:b/>
                <w:sz w:val="24"/>
              </w:rPr>
              <w:t xml:space="preserve"> </w:t>
            </w:r>
            <w:r w:rsidRPr="0058639B">
              <w:rPr>
                <w:rFonts w:ascii="Times New Roman" w:hAnsi="Times New Roman"/>
                <w:b/>
                <w:sz w:val="24"/>
              </w:rPr>
              <w:t>Van der Lee</w:t>
            </w:r>
            <w:r w:rsidR="00F55CF6">
              <w:rPr>
                <w:rFonts w:ascii="Times New Roman" w:hAnsi="Times New Roman"/>
                <w:b/>
                <w:sz w:val="24"/>
              </w:rPr>
              <w:t>, Koekkoek</w:t>
            </w:r>
            <w:bookmarkEnd w:id="0"/>
            <w:r w:rsidR="00292E12">
              <w:rPr>
                <w:rFonts w:ascii="Times New Roman" w:hAnsi="Times New Roman"/>
                <w:b/>
                <w:sz w:val="24"/>
              </w:rPr>
              <w:t xml:space="preserve"> en Hammelburg </w:t>
            </w:r>
            <w:r w:rsidRPr="0058639B">
              <w:rPr>
                <w:rFonts w:ascii="Times New Roman" w:hAnsi="Times New Roman"/>
                <w:b/>
                <w:color w:val="000000"/>
                <w:sz w:val="24"/>
              </w:rPr>
              <w:t>houdende regels voor gepaste zorgvuldigheid in productieketens om schending van mensenrechten, arbeidsrechten en het milieu tegen te gaan bij het bedrijven van buitenlandse handel (Wet verantwoord en duurzaam internationaal ondernemen)</w:t>
            </w:r>
          </w:p>
        </w:tc>
      </w:tr>
      <w:tr w:rsidR="00260286" w:rsidRPr="002168F4" w14:paraId="17C8E58A" w14:textId="77777777"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14:paraId="394C0808" w14:textId="77777777" w:rsidR="00260286" w:rsidRDefault="00260286" w:rsidP="00BA6464">
            <w:pPr>
              <w:pStyle w:val="Amendement"/>
              <w:rPr>
                <w:rFonts w:ascii="Times New Roman" w:hAnsi="Times New Roman" w:cs="Times New Roman"/>
              </w:rPr>
            </w:pPr>
          </w:p>
        </w:tc>
        <w:tc>
          <w:tcPr>
            <w:tcW w:w="6590" w:type="dxa"/>
            <w:tcBorders>
              <w:top w:val="nil"/>
              <w:left w:val="nil"/>
              <w:bottom w:val="nil"/>
              <w:right w:val="nil"/>
            </w:tcBorders>
          </w:tcPr>
          <w:p w14:paraId="34DCDAF6" w14:textId="77777777" w:rsidR="00260286" w:rsidRDefault="00260286" w:rsidP="00BA6464">
            <w:pPr>
              <w:pStyle w:val="Amendement"/>
              <w:rPr>
                <w:rFonts w:ascii="Times New Roman" w:hAnsi="Times New Roman" w:cs="Times New Roman"/>
              </w:rPr>
            </w:pPr>
          </w:p>
        </w:tc>
      </w:tr>
      <w:tr w:rsidR="00260286" w:rsidRPr="002168F4" w14:paraId="545ED7B3" w14:textId="77777777"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14:paraId="111A8E44" w14:textId="77777777" w:rsidR="00260286" w:rsidRDefault="00260286" w:rsidP="00BA6464">
            <w:pPr>
              <w:pStyle w:val="Amendement"/>
              <w:rPr>
                <w:rFonts w:ascii="Times New Roman" w:hAnsi="Times New Roman" w:cs="Times New Roman"/>
              </w:rPr>
            </w:pPr>
          </w:p>
        </w:tc>
        <w:tc>
          <w:tcPr>
            <w:tcW w:w="6590" w:type="dxa"/>
            <w:tcBorders>
              <w:top w:val="nil"/>
              <w:left w:val="nil"/>
              <w:bottom w:val="nil"/>
              <w:right w:val="nil"/>
            </w:tcBorders>
          </w:tcPr>
          <w:p w14:paraId="42D083D8" w14:textId="77777777" w:rsidR="00260286" w:rsidRDefault="00260286" w:rsidP="00BA6464">
            <w:pPr>
              <w:pStyle w:val="Amendement"/>
              <w:rPr>
                <w:rFonts w:ascii="Times New Roman" w:hAnsi="Times New Roman" w:cs="Times New Roman"/>
              </w:rPr>
            </w:pPr>
          </w:p>
        </w:tc>
      </w:tr>
      <w:tr w:rsidR="00260286" w:rsidRPr="002168F4" w14:paraId="117D16DB" w14:textId="77777777" w:rsidTr="00A11E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tcBorders>
              <w:top w:val="nil"/>
              <w:left w:val="nil"/>
              <w:bottom w:val="nil"/>
              <w:right w:val="nil"/>
            </w:tcBorders>
          </w:tcPr>
          <w:p w14:paraId="5585CCE3" w14:textId="77777777" w:rsidR="00260286" w:rsidRDefault="00260286" w:rsidP="00BA6464">
            <w:pPr>
              <w:pStyle w:val="Amendement"/>
              <w:rPr>
                <w:rFonts w:ascii="Times New Roman" w:hAnsi="Times New Roman" w:cs="Times New Roman"/>
              </w:rPr>
            </w:pPr>
            <w:r>
              <w:rPr>
                <w:rFonts w:ascii="Times New Roman" w:hAnsi="Times New Roman" w:cs="Times New Roman"/>
              </w:rPr>
              <w:t>Nr. 4</w:t>
            </w:r>
          </w:p>
        </w:tc>
        <w:tc>
          <w:tcPr>
            <w:tcW w:w="6590" w:type="dxa"/>
            <w:tcBorders>
              <w:top w:val="nil"/>
              <w:left w:val="nil"/>
              <w:bottom w:val="nil"/>
              <w:right w:val="nil"/>
            </w:tcBorders>
          </w:tcPr>
          <w:p w14:paraId="0911F8A9" w14:textId="77777777" w:rsidR="00260286" w:rsidRPr="00D920F6" w:rsidRDefault="00260286" w:rsidP="0058639B">
            <w:pPr>
              <w:pStyle w:val="Amendement"/>
              <w:rPr>
                <w:rFonts w:cs="Times New Roman"/>
              </w:rPr>
            </w:pPr>
            <w:r w:rsidRPr="007852AD">
              <w:rPr>
                <w:rFonts w:ascii="Times New Roman" w:hAnsi="Times New Roman"/>
              </w:rPr>
              <w:t xml:space="preserve">ADVIES </w:t>
            </w:r>
            <w:r w:rsidR="00C90D4B">
              <w:rPr>
                <w:rFonts w:ascii="Times New Roman" w:hAnsi="Times New Roman"/>
              </w:rPr>
              <w:t xml:space="preserve">VAN DE </w:t>
            </w:r>
            <w:r>
              <w:rPr>
                <w:rFonts w:ascii="Times New Roman" w:hAnsi="Times New Roman"/>
              </w:rPr>
              <w:t xml:space="preserve">AFDELING ADVISERING VAN DE </w:t>
            </w:r>
            <w:r w:rsidRPr="007852AD">
              <w:rPr>
                <w:rFonts w:ascii="Times New Roman" w:hAnsi="Times New Roman"/>
              </w:rPr>
              <w:t xml:space="preserve">RAAD VAN STATE </w:t>
            </w:r>
            <w:r w:rsidRPr="00D920F6">
              <w:rPr>
                <w:rFonts w:ascii="Times New Roman" w:hAnsi="Times New Roman"/>
                <w:caps/>
              </w:rPr>
              <w:t>EN</w:t>
            </w:r>
            <w:r>
              <w:rPr>
                <w:rFonts w:ascii="Times New Roman" w:hAnsi="Times New Roman"/>
                <w:caps/>
              </w:rPr>
              <w:t xml:space="preserve"> reactie van de initiatiefnemer</w:t>
            </w:r>
            <w:r w:rsidR="0058639B">
              <w:rPr>
                <w:rFonts w:ascii="Times New Roman" w:hAnsi="Times New Roman"/>
                <w:caps/>
              </w:rPr>
              <w:t>s</w:t>
            </w:r>
            <w:r w:rsidRPr="008817CA">
              <w:rPr>
                <w:rFonts w:ascii="Times New Roman" w:hAnsi="Times New Roman" w:cs="Times New Roman"/>
              </w:rPr>
              <w:t xml:space="preserve"> </w:t>
            </w:r>
          </w:p>
        </w:tc>
      </w:tr>
      <w:tr w:rsidR="002066B5" w:rsidRPr="002168F4" w14:paraId="72A48842" w14:textId="77777777" w:rsidTr="002E09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2552" w:type="dxa"/>
            <w:tcBorders>
              <w:top w:val="nil"/>
              <w:left w:val="nil"/>
              <w:bottom w:val="nil"/>
              <w:right w:val="nil"/>
            </w:tcBorders>
          </w:tcPr>
          <w:p w14:paraId="06E29086" w14:textId="77777777" w:rsidR="002066B5" w:rsidRPr="002168F4" w:rsidRDefault="002066B5" w:rsidP="002E09AB">
            <w:pPr>
              <w:pStyle w:val="Amendement"/>
              <w:rPr>
                <w:rFonts w:ascii="Times New Roman" w:hAnsi="Times New Roman" w:cs="Times New Roman"/>
              </w:rPr>
            </w:pPr>
          </w:p>
        </w:tc>
        <w:tc>
          <w:tcPr>
            <w:tcW w:w="6590" w:type="dxa"/>
            <w:tcBorders>
              <w:top w:val="nil"/>
              <w:left w:val="nil"/>
              <w:bottom w:val="nil"/>
              <w:right w:val="nil"/>
            </w:tcBorders>
          </w:tcPr>
          <w:p w14:paraId="3CCF2AAA" w14:textId="77777777" w:rsidR="002066B5" w:rsidRPr="002168F4" w:rsidRDefault="002066B5" w:rsidP="002E09AB">
            <w:pPr>
              <w:pStyle w:val="Amendement"/>
              <w:rPr>
                <w:rFonts w:ascii="Times New Roman" w:hAnsi="Times New Roman" w:cs="Times New Roman"/>
              </w:rPr>
            </w:pPr>
          </w:p>
        </w:tc>
      </w:tr>
    </w:tbl>
    <w:p w14:paraId="2D0C3746" w14:textId="77777777" w:rsidR="002066B5" w:rsidRDefault="002066B5" w:rsidP="00B96C50">
      <w:pPr>
        <w:tabs>
          <w:tab w:val="left" w:pos="284"/>
          <w:tab w:val="left" w:pos="567"/>
          <w:tab w:val="left" w:pos="851"/>
        </w:tabs>
        <w:ind w:right="1848"/>
        <w:jc w:val="both"/>
        <w:rPr>
          <w:rFonts w:ascii="Times New Roman" w:hAnsi="Times New Roman"/>
          <w:sz w:val="24"/>
        </w:rPr>
      </w:pPr>
    </w:p>
    <w:p w14:paraId="48B15677" w14:textId="7E274029" w:rsidR="00B96C50" w:rsidRPr="00260286" w:rsidRDefault="00D920F6" w:rsidP="00723EA0">
      <w:pPr>
        <w:tabs>
          <w:tab w:val="left" w:pos="284"/>
          <w:tab w:val="left" w:pos="567"/>
          <w:tab w:val="left" w:pos="851"/>
        </w:tabs>
        <w:ind w:right="1848"/>
        <w:jc w:val="both"/>
        <w:rPr>
          <w:rFonts w:ascii="Times New Roman" w:hAnsi="Times New Roman"/>
          <w:sz w:val="24"/>
        </w:rPr>
      </w:pPr>
      <w:r w:rsidRPr="00260286">
        <w:rPr>
          <w:rFonts w:ascii="Times New Roman" w:hAnsi="Times New Roman"/>
          <w:sz w:val="24"/>
        </w:rPr>
        <w:t>Hieronder zijn opgenomen het advies van de Afdeling advisering van de Raad van State d.d.</w:t>
      </w:r>
      <w:r w:rsidR="0058639B">
        <w:rPr>
          <w:rFonts w:ascii="Times New Roman" w:hAnsi="Times New Roman"/>
          <w:sz w:val="24"/>
        </w:rPr>
        <w:t xml:space="preserve"> 8 juli 2021, W02.21.0072,</w:t>
      </w:r>
      <w:r w:rsidR="00723EA0">
        <w:rPr>
          <w:rFonts w:ascii="Times New Roman" w:hAnsi="Times New Roman"/>
          <w:sz w:val="24"/>
        </w:rPr>
        <w:t xml:space="preserve"> </w:t>
      </w:r>
      <w:r w:rsidRPr="00260286">
        <w:rPr>
          <w:rFonts w:ascii="Times New Roman" w:hAnsi="Times New Roman"/>
          <w:sz w:val="24"/>
        </w:rPr>
        <w:t xml:space="preserve">en </w:t>
      </w:r>
      <w:r w:rsidR="00260286" w:rsidRPr="00260286">
        <w:rPr>
          <w:rFonts w:ascii="Times New Roman" w:hAnsi="Times New Roman"/>
          <w:sz w:val="24"/>
        </w:rPr>
        <w:t>de reactie van de initiatiefnemer</w:t>
      </w:r>
      <w:r w:rsidR="0058639B">
        <w:rPr>
          <w:rFonts w:ascii="Times New Roman" w:hAnsi="Times New Roman"/>
          <w:sz w:val="24"/>
        </w:rPr>
        <w:t>s</w:t>
      </w:r>
      <w:r w:rsidRPr="00260286">
        <w:rPr>
          <w:rFonts w:ascii="Times New Roman" w:hAnsi="Times New Roman"/>
          <w:sz w:val="24"/>
        </w:rPr>
        <w:t xml:space="preserve"> d.d</w:t>
      </w:r>
      <w:r w:rsidRPr="00F55CF6">
        <w:rPr>
          <w:rFonts w:ascii="Times New Roman" w:hAnsi="Times New Roman"/>
          <w:sz w:val="24"/>
          <w:highlight w:val="yellow"/>
        </w:rPr>
        <w:t xml:space="preserve">. </w:t>
      </w:r>
      <w:r w:rsidR="00F55CF6" w:rsidRPr="00F55CF6">
        <w:rPr>
          <w:rFonts w:ascii="Times New Roman" w:hAnsi="Times New Roman"/>
          <w:sz w:val="24"/>
          <w:highlight w:val="yellow"/>
        </w:rPr>
        <w:t>2 november</w:t>
      </w:r>
      <w:r w:rsidR="003B029F">
        <w:rPr>
          <w:rFonts w:ascii="Times New Roman" w:hAnsi="Times New Roman"/>
          <w:sz w:val="24"/>
        </w:rPr>
        <w:t xml:space="preserve"> 2022</w:t>
      </w:r>
      <w:r w:rsidR="00260286" w:rsidRPr="00260286">
        <w:rPr>
          <w:rFonts w:ascii="Times New Roman" w:hAnsi="Times New Roman"/>
          <w:sz w:val="24"/>
        </w:rPr>
        <w:t xml:space="preserve">, </w:t>
      </w:r>
      <w:r w:rsidR="003B029F">
        <w:rPr>
          <w:rFonts w:ascii="Times New Roman" w:hAnsi="Times New Roman"/>
          <w:sz w:val="24"/>
        </w:rPr>
        <w:t xml:space="preserve">zoals </w:t>
      </w:r>
      <w:r w:rsidR="00260286" w:rsidRPr="00260286">
        <w:rPr>
          <w:rFonts w:ascii="Times New Roman" w:hAnsi="Times New Roman"/>
          <w:sz w:val="24"/>
        </w:rPr>
        <w:t>aangeboden aan de Voorzitter van de T</w:t>
      </w:r>
      <w:r w:rsidR="00260286">
        <w:rPr>
          <w:rFonts w:ascii="Times New Roman" w:hAnsi="Times New Roman"/>
          <w:sz w:val="24"/>
        </w:rPr>
        <w:t>weede Kamer der Staten-</w:t>
      </w:r>
      <w:r w:rsidR="00260286" w:rsidRPr="00260286">
        <w:rPr>
          <w:rFonts w:ascii="Times New Roman" w:hAnsi="Times New Roman"/>
          <w:sz w:val="24"/>
        </w:rPr>
        <w:t>Generaal</w:t>
      </w:r>
      <w:r w:rsidRPr="00260286">
        <w:rPr>
          <w:rFonts w:ascii="Times New Roman" w:hAnsi="Times New Roman"/>
          <w:sz w:val="24"/>
        </w:rPr>
        <w:t>. Het advies van de</w:t>
      </w:r>
      <w:r w:rsidR="005B0590">
        <w:rPr>
          <w:rFonts w:ascii="Times New Roman" w:hAnsi="Times New Roman"/>
          <w:sz w:val="24"/>
        </w:rPr>
        <w:t xml:space="preserve"> </w:t>
      </w:r>
      <w:r w:rsidRPr="00260286">
        <w:rPr>
          <w:rFonts w:ascii="Times New Roman" w:hAnsi="Times New Roman"/>
          <w:sz w:val="24"/>
        </w:rPr>
        <w:t>Afdeling advisering van de Raad van State is cursief afgedrukt.</w:t>
      </w:r>
    </w:p>
    <w:p w14:paraId="564EEB7F" w14:textId="77777777" w:rsidR="00D920F6" w:rsidRDefault="00D920F6" w:rsidP="00B96C50">
      <w:pPr>
        <w:pStyle w:val="Amendement"/>
        <w:jc w:val="both"/>
        <w:rPr>
          <w:rFonts w:ascii="Times New Roman" w:hAnsi="Times New Roman"/>
          <w:b w:val="0"/>
        </w:rPr>
      </w:pPr>
    </w:p>
    <w:p w14:paraId="2CAD3FEE" w14:textId="77777777" w:rsidR="000D29B3" w:rsidRPr="002943D2" w:rsidRDefault="000D29B3" w:rsidP="000D29B3">
      <w:pPr>
        <w:rPr>
          <w:rFonts w:ascii="Times New Roman" w:hAnsi="Times New Roman"/>
          <w:i/>
          <w:sz w:val="24"/>
        </w:rPr>
      </w:pPr>
      <w:r w:rsidRPr="002943D2">
        <w:rPr>
          <w:rFonts w:ascii="Times New Roman" w:hAnsi="Times New Roman"/>
          <w:i/>
          <w:sz w:val="24"/>
        </w:rPr>
        <w:t>Bij brief van de Voorzitter van de Tweede kamer der Staten-Generaal van 11 maart 2021 heeft de Tweede kamer, bij de Afdeling advisering van de Raad van State ter overweging aanhangig gemaakt het voorstel van wet van de leden Voordewind, Alkaya, Van den Hul en Van den Nieuwenhuijzen houdende regels voor gepaste zorgvuldigheid in productieketens om schending van mensenrechten, arbeidsrechten en het milieu tegen te gaan bij het bedrijven van buitenlandse handel (Wet verantwoord en duurzaam internationaal ondernemen), met memorie van toelichting.</w:t>
      </w:r>
    </w:p>
    <w:p w14:paraId="0D7A4A4E" w14:textId="77777777" w:rsidR="000D29B3" w:rsidRPr="002943D2" w:rsidRDefault="000D29B3" w:rsidP="000D29B3">
      <w:pPr>
        <w:rPr>
          <w:rFonts w:ascii="Times New Roman" w:hAnsi="Times New Roman"/>
          <w:i/>
          <w:sz w:val="24"/>
        </w:rPr>
      </w:pPr>
    </w:p>
    <w:p w14:paraId="278158B2" w14:textId="77777777" w:rsidR="000D29B3" w:rsidRPr="002943D2" w:rsidRDefault="000D29B3" w:rsidP="000D29B3">
      <w:pPr>
        <w:rPr>
          <w:rFonts w:ascii="Times New Roman" w:hAnsi="Times New Roman"/>
          <w:i/>
          <w:sz w:val="24"/>
        </w:rPr>
      </w:pPr>
      <w:r w:rsidRPr="002943D2">
        <w:rPr>
          <w:rFonts w:ascii="Times New Roman" w:hAnsi="Times New Roman"/>
          <w:i/>
          <w:sz w:val="24"/>
        </w:rPr>
        <w:t xml:space="preserve">De initiatiefnemers stellen voor om voor iedere onderneming een algemene zorgplicht in te voeren om schendingen van mensenrechten, onacceptabele arbeidsomstandigheden en milieuschade in het buitenland ten gevolge van haar activiteiten tegen te gaan. Daarnaast moeten grote ondernemingen gepaste zorgvuldigheid (due diligence) betrachten in de productieketen. Dat betekent dat zij moeten rapporteren, monitoren en, zo nodig, actieve (herstel)maatregelen moeten nemen. </w:t>
      </w:r>
    </w:p>
    <w:p w14:paraId="28346DA5" w14:textId="77777777" w:rsidR="000D29B3" w:rsidRPr="002943D2" w:rsidRDefault="000D29B3" w:rsidP="000D29B3">
      <w:pPr>
        <w:rPr>
          <w:rFonts w:ascii="Times New Roman" w:hAnsi="Times New Roman"/>
          <w:i/>
          <w:sz w:val="24"/>
        </w:rPr>
      </w:pPr>
    </w:p>
    <w:p w14:paraId="7E5F29A1" w14:textId="77777777" w:rsidR="000D29B3" w:rsidRPr="002943D2" w:rsidRDefault="000D29B3" w:rsidP="000D29B3">
      <w:pPr>
        <w:rPr>
          <w:rFonts w:ascii="Times New Roman" w:hAnsi="Times New Roman"/>
          <w:i/>
          <w:sz w:val="24"/>
        </w:rPr>
      </w:pPr>
      <w:r w:rsidRPr="002943D2">
        <w:rPr>
          <w:rFonts w:ascii="Times New Roman" w:hAnsi="Times New Roman"/>
          <w:i/>
          <w:sz w:val="24"/>
        </w:rPr>
        <w:t xml:space="preserve">De Afdeling advisering van de Raad van State onderschrijft de onderliggende doelstelling van het wetsvoorstel om nadelige gevolgen voor mensenrechten, arbeidsrechten en het milieu van internationale economische activiteiten van ondernemingen te voorkomen en tegen te gaan. Zij maakt evenwel opmerkingen over de wijze waarop de initiatiefnemers dit wettelijk willen verankeren. </w:t>
      </w:r>
    </w:p>
    <w:p w14:paraId="23CD0BC3" w14:textId="77777777" w:rsidR="000D29B3" w:rsidRPr="002943D2" w:rsidRDefault="000D29B3" w:rsidP="000D29B3">
      <w:pPr>
        <w:rPr>
          <w:rFonts w:ascii="Times New Roman" w:hAnsi="Times New Roman"/>
          <w:i/>
          <w:sz w:val="24"/>
        </w:rPr>
      </w:pPr>
    </w:p>
    <w:p w14:paraId="0C48FE80" w14:textId="77777777" w:rsidR="000D29B3" w:rsidRPr="00B73DB4" w:rsidRDefault="000D29B3" w:rsidP="000D29B3">
      <w:pPr>
        <w:rPr>
          <w:rFonts w:ascii="Times New Roman" w:hAnsi="Times New Roman"/>
          <w:i/>
          <w:sz w:val="24"/>
        </w:rPr>
      </w:pPr>
      <w:r w:rsidRPr="002943D2">
        <w:rPr>
          <w:rFonts w:ascii="Times New Roman" w:hAnsi="Times New Roman"/>
          <w:i/>
          <w:sz w:val="24"/>
        </w:rPr>
        <w:t>De voorgestelde gepaste zorgvuldigheidsverplichting bevat veel open normen, kent een ruime reikwijdte en voorziet in zowel civielrechtelijke, bestuursrechtelijke als strafrechtelijke handhavingsmechanismen. De materie is door haar internationale karakter complex en het is onduidelijk in welke mate de doelen van het voorstel realiseerbaar zijn</w:t>
      </w:r>
      <w:r w:rsidRPr="00B73DB4">
        <w:rPr>
          <w:rFonts w:ascii="Times New Roman" w:hAnsi="Times New Roman"/>
          <w:i/>
          <w:sz w:val="24"/>
        </w:rPr>
        <w:t xml:space="preserve">. De Afdeling ziet in </w:t>
      </w:r>
      <w:r w:rsidRPr="00B73DB4">
        <w:rPr>
          <w:rFonts w:ascii="Times New Roman" w:hAnsi="Times New Roman"/>
          <w:i/>
          <w:sz w:val="24"/>
        </w:rPr>
        <w:lastRenderedPageBreak/>
        <w:t xml:space="preserve">het voorstel bezwaren wat betreft de rechtszekerheid, evenredigheid, uitvoerbaarheid en handhaafbaarheid. Bovendien staat de voorgestelde strafrechtelijke handhavingsbepaling op gespannen voet met het lex certa-beginsel. </w:t>
      </w:r>
    </w:p>
    <w:p w14:paraId="675832FD" w14:textId="77777777" w:rsidR="000D29B3" w:rsidRPr="002943D2" w:rsidRDefault="000D29B3" w:rsidP="000D29B3">
      <w:pPr>
        <w:rPr>
          <w:rFonts w:ascii="Times New Roman" w:hAnsi="Times New Roman"/>
          <w:i/>
          <w:sz w:val="24"/>
        </w:rPr>
      </w:pPr>
    </w:p>
    <w:p w14:paraId="3DA9007B" w14:textId="77777777" w:rsidR="000D29B3" w:rsidRPr="002943D2" w:rsidRDefault="000D29B3" w:rsidP="000D29B3">
      <w:pPr>
        <w:rPr>
          <w:rFonts w:ascii="Times New Roman" w:hAnsi="Times New Roman"/>
          <w:i/>
          <w:sz w:val="24"/>
        </w:rPr>
      </w:pPr>
      <w:r w:rsidRPr="00467032">
        <w:rPr>
          <w:rFonts w:ascii="Times New Roman" w:hAnsi="Times New Roman"/>
          <w:i/>
          <w:sz w:val="24"/>
        </w:rPr>
        <w:t>In het licht van toekomstige internationale en Europese ontwikkelingen met betrekking tot wetgeving ten aanzien van internationaal maatschappelijk verantwoord en duurzaam ondernemen adviseert de Afdeling een gerichtere benadering. Daarin kan bestuursrechtelijke en strafrechtelijke handhaving worden ingezet voor de gepaste zorgvuldigheidsverplichting ten aanzien van specifieke producten, sectoren of misstanden waarvoor – zoveel mogelijk – internationale of Europese consensus bestaat over een concrete normstelling. Voor zover dergelijke specifieke normering nog ontbreekt, adviseert de Afdeling om regulering te beperken tot verplichtingen tot rapportage en transparantie.</w:t>
      </w:r>
      <w:r w:rsidRPr="002943D2">
        <w:rPr>
          <w:rFonts w:ascii="Times New Roman" w:hAnsi="Times New Roman"/>
          <w:i/>
          <w:sz w:val="24"/>
        </w:rPr>
        <w:t xml:space="preserve"> </w:t>
      </w:r>
    </w:p>
    <w:p w14:paraId="17845018" w14:textId="77777777" w:rsidR="000D29B3" w:rsidRPr="002943D2" w:rsidRDefault="000D29B3" w:rsidP="000D29B3">
      <w:pPr>
        <w:rPr>
          <w:rFonts w:ascii="Times New Roman" w:hAnsi="Times New Roman"/>
          <w:i/>
          <w:sz w:val="24"/>
        </w:rPr>
      </w:pPr>
    </w:p>
    <w:p w14:paraId="4A01614A" w14:textId="77777777" w:rsidR="000D29B3" w:rsidRPr="002943D2" w:rsidRDefault="000D29B3" w:rsidP="000D29B3">
      <w:pPr>
        <w:rPr>
          <w:rFonts w:ascii="Times New Roman" w:hAnsi="Times New Roman"/>
          <w:i/>
          <w:sz w:val="24"/>
        </w:rPr>
      </w:pPr>
      <w:r w:rsidRPr="002943D2">
        <w:rPr>
          <w:rFonts w:ascii="Times New Roman" w:hAnsi="Times New Roman"/>
          <w:i/>
          <w:sz w:val="24"/>
        </w:rPr>
        <w:t>In verband met het voorgaande dient het initiatiefvoorstel nader te worden overwogen.</w:t>
      </w:r>
    </w:p>
    <w:p w14:paraId="31FE330B" w14:textId="77777777" w:rsidR="000D29B3" w:rsidRDefault="000D29B3" w:rsidP="000D29B3">
      <w:pPr>
        <w:rPr>
          <w:rFonts w:ascii="Times New Roman" w:hAnsi="Times New Roman"/>
          <w:sz w:val="24"/>
        </w:rPr>
      </w:pPr>
    </w:p>
    <w:p w14:paraId="7FF8FAB1" w14:textId="77777777" w:rsidR="00091691" w:rsidRPr="0051793A" w:rsidRDefault="00091691" w:rsidP="000D29B3">
      <w:pPr>
        <w:rPr>
          <w:rFonts w:ascii="Times New Roman" w:hAnsi="Times New Roman"/>
          <w:b/>
          <w:sz w:val="24"/>
        </w:rPr>
      </w:pPr>
      <w:r w:rsidRPr="0051793A">
        <w:rPr>
          <w:rFonts w:ascii="Times New Roman" w:hAnsi="Times New Roman"/>
          <w:b/>
          <w:sz w:val="24"/>
        </w:rPr>
        <w:t xml:space="preserve">Reactie: </w:t>
      </w:r>
    </w:p>
    <w:p w14:paraId="16C28738" w14:textId="3169CA23" w:rsidR="00FC65DA" w:rsidRPr="0051793A" w:rsidRDefault="00FC65DA" w:rsidP="00B17992">
      <w:pPr>
        <w:rPr>
          <w:rFonts w:ascii="Times New Roman" w:hAnsi="Times New Roman"/>
          <w:sz w:val="24"/>
        </w:rPr>
      </w:pPr>
    </w:p>
    <w:p w14:paraId="38AF3E50" w14:textId="42D5610D" w:rsidR="00FC65DA" w:rsidRDefault="00FC65DA" w:rsidP="00FC65DA">
      <w:pPr>
        <w:rPr>
          <w:rFonts w:ascii="Times New Roman" w:hAnsi="Times New Roman"/>
          <w:color w:val="0070C0"/>
          <w:sz w:val="24"/>
        </w:rPr>
      </w:pPr>
      <w:r w:rsidRPr="0051793A">
        <w:rPr>
          <w:rFonts w:ascii="Times New Roman" w:hAnsi="Times New Roman"/>
          <w:sz w:val="24"/>
        </w:rPr>
        <w:t xml:space="preserve">De initiatiefnemers danken de </w:t>
      </w:r>
      <w:r w:rsidR="007E5852" w:rsidRPr="0051793A">
        <w:rPr>
          <w:rFonts w:ascii="Times New Roman" w:hAnsi="Times New Roman"/>
          <w:sz w:val="24"/>
        </w:rPr>
        <w:t>Afdeling</w:t>
      </w:r>
      <w:r w:rsidR="00B7493D" w:rsidRPr="0051793A">
        <w:rPr>
          <w:rFonts w:ascii="Times New Roman" w:hAnsi="Times New Roman"/>
          <w:sz w:val="24"/>
        </w:rPr>
        <w:t xml:space="preserve"> v</w:t>
      </w:r>
      <w:r w:rsidRPr="0051793A">
        <w:rPr>
          <w:rFonts w:ascii="Times New Roman" w:hAnsi="Times New Roman"/>
          <w:sz w:val="24"/>
        </w:rPr>
        <w:t xml:space="preserve">oor het uitgebreide advies op het initiatiefwetsvoorstel en voor de beraadslaging met de initiatiefnemers voorafgaand aan het uitbrengen van het advies. De initiatiefnemers zijn ingenomen met het feit dat de </w:t>
      </w:r>
      <w:r w:rsidR="007E5852" w:rsidRPr="0051793A">
        <w:rPr>
          <w:rFonts w:ascii="Times New Roman" w:hAnsi="Times New Roman"/>
          <w:sz w:val="24"/>
        </w:rPr>
        <w:t>Afdeling</w:t>
      </w:r>
      <w:r w:rsidRPr="0051793A">
        <w:rPr>
          <w:rFonts w:ascii="Times New Roman" w:hAnsi="Times New Roman"/>
          <w:sz w:val="24"/>
        </w:rPr>
        <w:t xml:space="preserve"> de onderliggende doelstelling van het wetsvoorstel, namelijk om nadelige gevolgen voor mensenrechten, arbeidsrechten en het milieu van internationale economische activiteiten van ondernemingen te voorkomen en tegen te gaan, onderschrijft</w:t>
      </w:r>
      <w:r w:rsidR="005117CB" w:rsidRPr="0051793A">
        <w:rPr>
          <w:rFonts w:ascii="Times New Roman" w:hAnsi="Times New Roman"/>
          <w:sz w:val="24"/>
        </w:rPr>
        <w:t>,</w:t>
      </w:r>
      <w:r w:rsidR="003B029F" w:rsidRPr="0051793A">
        <w:rPr>
          <w:rFonts w:ascii="Times New Roman" w:hAnsi="Times New Roman"/>
          <w:sz w:val="24"/>
        </w:rPr>
        <w:t xml:space="preserve"> </w:t>
      </w:r>
      <w:r w:rsidR="003B029F" w:rsidRPr="004B1A91">
        <w:rPr>
          <w:rFonts w:ascii="Times New Roman" w:hAnsi="Times New Roman"/>
          <w:sz w:val="24"/>
        </w:rPr>
        <w:t>en ook het nut en de noodzaak van wettelijke verplichtingen inziet</w:t>
      </w:r>
      <w:r w:rsidR="003B029F">
        <w:rPr>
          <w:rFonts w:ascii="Times New Roman" w:hAnsi="Times New Roman"/>
          <w:sz w:val="24"/>
        </w:rPr>
        <w:t>.</w:t>
      </w:r>
    </w:p>
    <w:p w14:paraId="35F64766" w14:textId="77777777" w:rsidR="00FC65DA" w:rsidRDefault="00FC65DA" w:rsidP="00FC65DA">
      <w:pPr>
        <w:rPr>
          <w:rFonts w:ascii="Times New Roman" w:hAnsi="Times New Roman"/>
          <w:color w:val="0070C0"/>
          <w:sz w:val="24"/>
        </w:rPr>
      </w:pPr>
    </w:p>
    <w:p w14:paraId="441DE0B5" w14:textId="6CA1BF82" w:rsidR="00FC65DA" w:rsidRDefault="003B029F" w:rsidP="00FC65DA">
      <w:pPr>
        <w:rPr>
          <w:rFonts w:ascii="Times New Roman" w:hAnsi="Times New Roman"/>
          <w:color w:val="0070C0"/>
          <w:sz w:val="24"/>
        </w:rPr>
      </w:pPr>
      <w:r w:rsidRPr="000854D0">
        <w:rPr>
          <w:rFonts w:ascii="Times New Roman" w:hAnsi="Times New Roman"/>
          <w:sz w:val="24"/>
        </w:rPr>
        <w:t>De</w:t>
      </w:r>
      <w:r w:rsidRPr="005B2E63">
        <w:rPr>
          <w:rFonts w:ascii="Times New Roman" w:hAnsi="Times New Roman"/>
          <w:sz w:val="24"/>
        </w:rPr>
        <w:t xml:space="preserve"> Afdeling </w:t>
      </w:r>
      <w:r w:rsidRPr="000854D0">
        <w:rPr>
          <w:rFonts w:ascii="Times New Roman" w:hAnsi="Times New Roman"/>
          <w:sz w:val="24"/>
        </w:rPr>
        <w:t>maakt</w:t>
      </w:r>
      <w:r w:rsidRPr="005B2E63">
        <w:rPr>
          <w:rFonts w:ascii="Times New Roman" w:hAnsi="Times New Roman"/>
          <w:sz w:val="24"/>
        </w:rPr>
        <w:t>e</w:t>
      </w:r>
      <w:r w:rsidRPr="000854D0">
        <w:rPr>
          <w:rFonts w:ascii="Times New Roman" w:hAnsi="Times New Roman"/>
          <w:sz w:val="24"/>
        </w:rPr>
        <w:t xml:space="preserve"> </w:t>
      </w:r>
      <w:r w:rsidRPr="005B2E63">
        <w:rPr>
          <w:rFonts w:ascii="Times New Roman" w:hAnsi="Times New Roman"/>
          <w:sz w:val="24"/>
        </w:rPr>
        <w:t>ook</w:t>
      </w:r>
      <w:r w:rsidRPr="000854D0">
        <w:rPr>
          <w:rFonts w:ascii="Times New Roman" w:hAnsi="Times New Roman"/>
          <w:sz w:val="24"/>
        </w:rPr>
        <w:t xml:space="preserve"> opmerkingen over de wijze waarop de initiatiefnemers dit wettelijk willen verankeren en </w:t>
      </w:r>
      <w:r w:rsidRPr="005B2E63">
        <w:rPr>
          <w:rFonts w:ascii="Times New Roman" w:hAnsi="Times New Roman"/>
          <w:sz w:val="24"/>
        </w:rPr>
        <w:t xml:space="preserve">adviseerde – zolang er geen Europese regels waren – om de gepaste zorgvuldigheidsverplichtingen te beperken tot de rapportageverplichting. De initiatiefnemers vonden deze verplichting te beperkt in het licht van bovengenoemde doelstelling en de OESO-richtlijnen voor </w:t>
      </w:r>
      <w:r>
        <w:rPr>
          <w:rFonts w:ascii="Times New Roman" w:hAnsi="Times New Roman"/>
          <w:sz w:val="24"/>
        </w:rPr>
        <w:t>multinationale ondernemingen</w:t>
      </w:r>
      <w:r w:rsidRPr="005B2E63">
        <w:rPr>
          <w:rFonts w:ascii="Times New Roman" w:hAnsi="Times New Roman"/>
          <w:sz w:val="24"/>
        </w:rPr>
        <w:t>, en hebben het concept van de Europese richtlijn afgewacht</w:t>
      </w:r>
      <w:r w:rsidR="00BF2908">
        <w:rPr>
          <w:rFonts w:ascii="Times New Roman" w:hAnsi="Times New Roman"/>
          <w:sz w:val="24"/>
        </w:rPr>
        <w:t>.</w:t>
      </w:r>
    </w:p>
    <w:p w14:paraId="494252A0" w14:textId="77777777" w:rsidR="00FC65DA" w:rsidRDefault="00FC65DA" w:rsidP="00FC65DA">
      <w:pPr>
        <w:rPr>
          <w:rFonts w:ascii="Times New Roman" w:hAnsi="Times New Roman"/>
          <w:color w:val="0070C0"/>
          <w:sz w:val="24"/>
        </w:rPr>
      </w:pPr>
    </w:p>
    <w:p w14:paraId="106899EC" w14:textId="691F8E1F" w:rsidR="00FC65DA" w:rsidRPr="0051793A" w:rsidRDefault="00FC65DA" w:rsidP="00FC65DA">
      <w:pPr>
        <w:rPr>
          <w:rFonts w:ascii="Times New Roman" w:hAnsi="Times New Roman"/>
          <w:sz w:val="24"/>
        </w:rPr>
      </w:pPr>
      <w:r w:rsidRPr="0051793A">
        <w:rPr>
          <w:rFonts w:ascii="Times New Roman" w:hAnsi="Times New Roman"/>
          <w:sz w:val="24"/>
        </w:rPr>
        <w:t>In reactie hierop hebben de initiatiefnemers het wetsvoorstel grotendeels langs de lijnen van het advies van de Raad van State aangepast</w:t>
      </w:r>
      <w:r w:rsidR="00BF2908" w:rsidRPr="0051793A">
        <w:rPr>
          <w:rFonts w:ascii="Times New Roman" w:hAnsi="Times New Roman"/>
          <w:sz w:val="24"/>
        </w:rPr>
        <w:t>, maar ook elementen uit de inmiddels verschenen conceptrichtlijn meegenomen in de aanpassingen</w:t>
      </w:r>
      <w:r w:rsidRPr="0051793A">
        <w:rPr>
          <w:rFonts w:ascii="Times New Roman" w:hAnsi="Times New Roman"/>
          <w:sz w:val="24"/>
        </w:rPr>
        <w:t>. Deze aanpassingen worden hieronder op de betreffende plaatsen nader toegelicht.</w:t>
      </w:r>
    </w:p>
    <w:p w14:paraId="427C5E28" w14:textId="77777777" w:rsidR="00FC65DA" w:rsidRPr="003E2464" w:rsidRDefault="00FC65DA" w:rsidP="00B17992"/>
    <w:p w14:paraId="62AA1A5A" w14:textId="75FDF072" w:rsidR="00091691" w:rsidRPr="00091691" w:rsidRDefault="00091691" w:rsidP="000D29B3">
      <w:pPr>
        <w:rPr>
          <w:rFonts w:ascii="Times New Roman" w:hAnsi="Times New Roman"/>
          <w:sz w:val="24"/>
        </w:rPr>
      </w:pPr>
    </w:p>
    <w:p w14:paraId="32C1DA12" w14:textId="77777777" w:rsidR="000D29B3" w:rsidRPr="002943D2" w:rsidRDefault="000D29B3" w:rsidP="000D29B3">
      <w:pPr>
        <w:rPr>
          <w:rFonts w:ascii="Times New Roman" w:hAnsi="Times New Roman"/>
          <w:i/>
          <w:sz w:val="24"/>
        </w:rPr>
      </w:pPr>
      <w:r w:rsidRPr="002943D2">
        <w:rPr>
          <w:rFonts w:ascii="Times New Roman" w:hAnsi="Times New Roman"/>
          <w:i/>
          <w:sz w:val="24"/>
        </w:rPr>
        <w:t xml:space="preserve">1. </w:t>
      </w:r>
      <w:r w:rsidRPr="002943D2">
        <w:rPr>
          <w:rFonts w:ascii="Times New Roman" w:hAnsi="Times New Roman"/>
          <w:i/>
          <w:sz w:val="24"/>
        </w:rPr>
        <w:tab/>
        <w:t xml:space="preserve">Achtergrond van het voorstel </w:t>
      </w:r>
    </w:p>
    <w:p w14:paraId="51D7A32E" w14:textId="77777777" w:rsidR="000D29B3" w:rsidRPr="002943D2" w:rsidRDefault="000D29B3" w:rsidP="000D29B3">
      <w:pPr>
        <w:rPr>
          <w:rFonts w:ascii="Times New Roman" w:hAnsi="Times New Roman"/>
          <w:i/>
          <w:sz w:val="24"/>
        </w:rPr>
      </w:pPr>
    </w:p>
    <w:p w14:paraId="589BEFDB" w14:textId="77777777" w:rsidR="000D29B3" w:rsidRPr="002943D2" w:rsidRDefault="000D29B3" w:rsidP="000D29B3">
      <w:pPr>
        <w:rPr>
          <w:rFonts w:ascii="Times New Roman" w:hAnsi="Times New Roman"/>
          <w:i/>
          <w:sz w:val="24"/>
        </w:rPr>
      </w:pPr>
      <w:r w:rsidRPr="002943D2">
        <w:rPr>
          <w:rFonts w:ascii="Times New Roman" w:hAnsi="Times New Roman"/>
          <w:i/>
          <w:sz w:val="24"/>
        </w:rPr>
        <w:t xml:space="preserve">Het initiatiefwetsvoorstel heeft tot doel om een wettelijke ondergrens voor internationaal maatschappelijk verantwoord ondernemen (hierna: IMVO) in te stellen. Hiermee willen de indieners de implementatie van de OESO-richtlijnen voor multinationale ondernemingen bevorderen omdat deze teveel achterblijft.  </w:t>
      </w:r>
    </w:p>
    <w:p w14:paraId="714D7DB8" w14:textId="77777777" w:rsidR="000D29B3" w:rsidRPr="002943D2" w:rsidRDefault="000D29B3" w:rsidP="000D29B3">
      <w:pPr>
        <w:rPr>
          <w:rFonts w:ascii="Times New Roman" w:hAnsi="Times New Roman"/>
          <w:i/>
          <w:sz w:val="24"/>
        </w:rPr>
      </w:pPr>
    </w:p>
    <w:p w14:paraId="44DD01E4" w14:textId="77777777" w:rsidR="000D29B3" w:rsidRPr="002943D2" w:rsidRDefault="000D29B3" w:rsidP="000D29B3">
      <w:pPr>
        <w:rPr>
          <w:rFonts w:ascii="Times New Roman" w:hAnsi="Times New Roman"/>
          <w:i/>
          <w:sz w:val="24"/>
        </w:rPr>
      </w:pPr>
      <w:r w:rsidRPr="002943D2">
        <w:rPr>
          <w:rFonts w:ascii="Times New Roman" w:hAnsi="Times New Roman"/>
          <w:i/>
          <w:sz w:val="24"/>
        </w:rPr>
        <w:t xml:space="preserve">Het voorstel past in een politieke en maatschappelijke ontwikkeling richting meer verplichtende maatregelen en gedeelde verantwoordelijkheden van bedrijven en overheden. Er is daarbij een consensus ontstaan binnen de VN (Principes voor Bedrijfsleven en Mensenrechten, ‘Ruggie Kader’) en de OESO dat multinationale ondernemingen </w:t>
      </w:r>
      <w:r w:rsidRPr="002943D2">
        <w:rPr>
          <w:rFonts w:ascii="Times New Roman" w:hAnsi="Times New Roman"/>
          <w:i/>
          <w:sz w:val="24"/>
        </w:rPr>
        <w:lastRenderedPageBreak/>
        <w:t xml:space="preserve">mensenrechtenverdragen ook moeten respecteren, waar ze dan ook opereren.  Er wordt inmiddels onderhandeld over een VN-verdrag over bedrijfsleven en mensenrechten. Na de hervorming van de OESO-richtlijnen in 2011 zette het kabinet in op zelfregulering en ondersteuning van ondernemingen om de richtlijnen te implementeren. Dit beleid is later aangevuld met stimulerende en ondersteunende maatregelen vanuit de overheid richting bedrijven via convenanten in risicosectoren.  </w:t>
      </w:r>
    </w:p>
    <w:p w14:paraId="6D9E6004" w14:textId="77777777" w:rsidR="000D29B3" w:rsidRPr="002943D2" w:rsidRDefault="000D29B3" w:rsidP="000D29B3">
      <w:pPr>
        <w:rPr>
          <w:rFonts w:ascii="Times New Roman" w:hAnsi="Times New Roman"/>
          <w:i/>
          <w:sz w:val="24"/>
        </w:rPr>
      </w:pPr>
    </w:p>
    <w:p w14:paraId="6FD671A3" w14:textId="56E5DBD4" w:rsidR="000D29B3" w:rsidRPr="002943D2" w:rsidRDefault="000D29B3" w:rsidP="000D29B3">
      <w:pPr>
        <w:rPr>
          <w:rFonts w:ascii="Times New Roman" w:hAnsi="Times New Roman"/>
          <w:i/>
          <w:sz w:val="24"/>
        </w:rPr>
      </w:pPr>
      <w:r w:rsidRPr="002943D2">
        <w:rPr>
          <w:rFonts w:ascii="Times New Roman" w:hAnsi="Times New Roman"/>
          <w:i/>
          <w:sz w:val="24"/>
        </w:rPr>
        <w:t xml:space="preserve">Daarnaast bevatten EU-handelsverdragen met derde landen bepalingen over het belang van naleving van internationale standaarden voor arbeidsrechten en bevordering van duurzame ontwikkeling. Tevens kunnen voorwaarden aan ondernemingen worden gesteld inzake naleving van mensenrechten, arbeidsrechten en milieustandaarden in het kader van handelsmissies, aanbestedingstrajecten en overheidsinvesteringen. </w:t>
      </w:r>
    </w:p>
    <w:p w14:paraId="10D2618B" w14:textId="77777777" w:rsidR="000D29B3" w:rsidRPr="002943D2" w:rsidRDefault="000D29B3" w:rsidP="000D29B3">
      <w:pPr>
        <w:rPr>
          <w:rFonts w:ascii="Times New Roman" w:hAnsi="Times New Roman"/>
          <w:i/>
          <w:sz w:val="24"/>
        </w:rPr>
      </w:pPr>
    </w:p>
    <w:p w14:paraId="71F4D78D" w14:textId="4B2F2B02" w:rsidR="000D29B3" w:rsidRPr="002943D2" w:rsidRDefault="000D29B3" w:rsidP="000D29B3">
      <w:pPr>
        <w:rPr>
          <w:rFonts w:ascii="Times New Roman" w:hAnsi="Times New Roman"/>
          <w:i/>
          <w:sz w:val="24"/>
        </w:rPr>
      </w:pPr>
      <w:r w:rsidRPr="002943D2">
        <w:rPr>
          <w:rFonts w:ascii="Times New Roman" w:hAnsi="Times New Roman"/>
          <w:i/>
          <w:sz w:val="24"/>
        </w:rPr>
        <w:t xml:space="preserve">Zowel op Europees als nationaal niveau zijn er daarnaast verschillende typen wetgeving die IMVO bevorderen dan wel afdwingen. Zo hanteert de EU, in het kader van het algemeen preferentieel stelsel (APS), lagere importtarieven voor handel met ontwikkelingslanden die internationale verdragen met betrekking tot mensenrechten, arbeidsrechten, het milieu en goed bestuur naleven.  Daarnaast bestaan Europese importverboden voor conflictmineralen,  fout hout, bedreigde plant- en diersoorten, gevaarlijke chemicaliën en namaakartikelen. Ook wordt controle uitgeoefend op de export van civiele goederen die kunnen worden ingezet voor militaire doeleinden in het buitenland. </w:t>
      </w:r>
    </w:p>
    <w:p w14:paraId="58FE360E" w14:textId="77777777" w:rsidR="000D29B3" w:rsidRPr="002943D2" w:rsidRDefault="000D29B3" w:rsidP="000D29B3">
      <w:pPr>
        <w:rPr>
          <w:rFonts w:ascii="Times New Roman" w:hAnsi="Times New Roman"/>
          <w:i/>
          <w:sz w:val="24"/>
        </w:rPr>
      </w:pPr>
    </w:p>
    <w:p w14:paraId="2B6C9E6A" w14:textId="51AB84FA" w:rsidR="000D29B3" w:rsidRPr="002943D2" w:rsidRDefault="000D29B3" w:rsidP="000D29B3">
      <w:pPr>
        <w:rPr>
          <w:rFonts w:ascii="Times New Roman" w:hAnsi="Times New Roman"/>
          <w:i/>
          <w:sz w:val="24"/>
        </w:rPr>
      </w:pPr>
      <w:r w:rsidRPr="002943D2">
        <w:rPr>
          <w:rFonts w:ascii="Times New Roman" w:hAnsi="Times New Roman"/>
          <w:i/>
          <w:sz w:val="24"/>
        </w:rPr>
        <w:t xml:space="preserve">Verder kent de EU thematische of sectorale wetgeving die verplichtingen bevat voor het betrachten van gepaste zorgvuldigheid in productieketens met betrekking tot hout  en conflictmineralen. In Nederland bestaat de Wet zorgplicht kinderarbeid (Wzk). De Wzk is echter nog niet in werking getreden in afwachting van de uitwerking van nadere regelgeving in een algemene maatregel van bestuur (amvb). Mocht onderhavig voorstel worden aangenomen dan zal de Wzk worden ingetrokken.  Daarnaast verplicht wetgeving tot transparantie en naleving van de code corporate governance, via rapportages over milieu, sociale en personeelsaangelegenheden, eerbiediging van mensenrechten en bestrijding van corruptie.  Ten slotte zijn er ontwikkelingen richting wetgeving inhoudende een brede (sectoroverstijgende) gepaste zorgvuldigheidsverplichting, waarbij onderhavig voorstel aansluit. </w:t>
      </w:r>
    </w:p>
    <w:p w14:paraId="01060E7F" w14:textId="77777777" w:rsidR="000D29B3" w:rsidRPr="002943D2" w:rsidRDefault="000D29B3" w:rsidP="000D29B3">
      <w:pPr>
        <w:rPr>
          <w:rFonts w:ascii="Times New Roman" w:hAnsi="Times New Roman"/>
          <w:i/>
          <w:sz w:val="24"/>
        </w:rPr>
      </w:pPr>
    </w:p>
    <w:p w14:paraId="6066C446" w14:textId="77777777" w:rsidR="000D29B3" w:rsidRPr="002943D2" w:rsidRDefault="000D29B3" w:rsidP="000D29B3">
      <w:pPr>
        <w:rPr>
          <w:rFonts w:ascii="Times New Roman" w:hAnsi="Times New Roman"/>
          <w:i/>
          <w:sz w:val="24"/>
        </w:rPr>
      </w:pPr>
      <w:r w:rsidRPr="002943D2">
        <w:rPr>
          <w:rFonts w:ascii="Times New Roman" w:hAnsi="Times New Roman"/>
          <w:i/>
          <w:sz w:val="24"/>
        </w:rPr>
        <w:t xml:space="preserve">Zo concludeerde de regering dat een brede wettelijke verplichting nodig is om gepaste zorgvuldigheid (due diligence) te betrachten aangezien het IMVO-beleid (gestoeld op zelfregulering en stimulering) onvoldoende effectief is geweest en meer verplichtende maatregelen nodig zijn.  Daarin wordt zij gesteund door onder andere de SER die het beheer heeft over de convenanten en geadviseerd heeft over vervolgbeleid.  De regering zet primair in op Europese wetgeving, waarvoor een concrete aanzet is gedaan door de Europese Commissie (in het kader van ‘Sustainable corporate governance’) en het Europees Parlement (via een aangenomen rapport met een voorstel voor verplichte due diligence wetgeving met een ruime reikwijdte).  </w:t>
      </w:r>
    </w:p>
    <w:p w14:paraId="61849CBA" w14:textId="77777777" w:rsidR="000D29B3" w:rsidRPr="002943D2" w:rsidRDefault="000D29B3" w:rsidP="000D29B3">
      <w:pPr>
        <w:rPr>
          <w:rFonts w:ascii="Times New Roman" w:hAnsi="Times New Roman"/>
          <w:i/>
          <w:sz w:val="24"/>
        </w:rPr>
      </w:pPr>
    </w:p>
    <w:p w14:paraId="377D7512" w14:textId="77777777" w:rsidR="000D29B3" w:rsidRDefault="000D29B3" w:rsidP="000D29B3">
      <w:pPr>
        <w:rPr>
          <w:rFonts w:ascii="Times New Roman" w:hAnsi="Times New Roman"/>
          <w:i/>
          <w:sz w:val="24"/>
        </w:rPr>
      </w:pPr>
      <w:r w:rsidRPr="002943D2">
        <w:rPr>
          <w:rFonts w:ascii="Times New Roman" w:hAnsi="Times New Roman"/>
          <w:i/>
          <w:sz w:val="24"/>
        </w:rPr>
        <w:t xml:space="preserve">Mocht er in de zomer van 2021 nog geen concreet zicht zijn op Europese wetgeving dan overweegt de regering op nationaal niveau stappen te zetten.  Hiervoor worden reeds voorbereidingen getroffen door zogeheten bouwstenen te ontwikkelen voor nationale wetgeving en/of voor het onderhandelingsproces voor wetgeving op Europees niveau. Ook andere Europese landen treffen voorbereidingen voor nationale wetgeving of zijn daartoe </w:t>
      </w:r>
      <w:r w:rsidRPr="002943D2">
        <w:rPr>
          <w:rFonts w:ascii="Times New Roman" w:hAnsi="Times New Roman"/>
          <w:i/>
          <w:sz w:val="24"/>
        </w:rPr>
        <w:lastRenderedPageBreak/>
        <w:t xml:space="preserve">overgegaan.  De initiatiefnemers vinden de ontwikkelingen op Europees en nationaal niveau te traag en komen daarom met onderhavig voorstel. </w:t>
      </w:r>
    </w:p>
    <w:p w14:paraId="630103C9" w14:textId="77777777" w:rsidR="00091691" w:rsidRDefault="00091691" w:rsidP="000D29B3">
      <w:pPr>
        <w:rPr>
          <w:rFonts w:ascii="Times New Roman" w:hAnsi="Times New Roman"/>
          <w:i/>
          <w:sz w:val="24"/>
        </w:rPr>
      </w:pPr>
    </w:p>
    <w:p w14:paraId="38FB2477" w14:textId="77777777" w:rsidR="000D29B3" w:rsidRPr="002943D2" w:rsidRDefault="000D29B3" w:rsidP="000D29B3">
      <w:pPr>
        <w:rPr>
          <w:rFonts w:ascii="Times New Roman" w:hAnsi="Times New Roman"/>
          <w:i/>
          <w:sz w:val="24"/>
        </w:rPr>
      </w:pPr>
      <w:r w:rsidRPr="002943D2">
        <w:rPr>
          <w:rFonts w:ascii="Times New Roman" w:hAnsi="Times New Roman"/>
          <w:i/>
          <w:sz w:val="24"/>
        </w:rPr>
        <w:t xml:space="preserve">2. </w:t>
      </w:r>
      <w:r w:rsidRPr="002943D2">
        <w:rPr>
          <w:rFonts w:ascii="Times New Roman" w:hAnsi="Times New Roman"/>
          <w:i/>
          <w:sz w:val="24"/>
        </w:rPr>
        <w:tab/>
        <w:t>Inhoud van het voorstel</w:t>
      </w:r>
    </w:p>
    <w:p w14:paraId="15B2B908" w14:textId="77777777" w:rsidR="000D29B3" w:rsidRPr="002943D2" w:rsidRDefault="000D29B3" w:rsidP="000D29B3">
      <w:pPr>
        <w:rPr>
          <w:rFonts w:ascii="Times New Roman" w:hAnsi="Times New Roman"/>
          <w:i/>
          <w:sz w:val="24"/>
        </w:rPr>
      </w:pPr>
    </w:p>
    <w:p w14:paraId="04712C8B" w14:textId="77777777" w:rsidR="000D29B3" w:rsidRPr="002943D2" w:rsidRDefault="000D29B3" w:rsidP="000D29B3">
      <w:pPr>
        <w:rPr>
          <w:rFonts w:ascii="Times New Roman" w:hAnsi="Times New Roman"/>
          <w:i/>
          <w:sz w:val="24"/>
        </w:rPr>
      </w:pPr>
      <w:r w:rsidRPr="002943D2">
        <w:rPr>
          <w:rFonts w:ascii="Times New Roman" w:hAnsi="Times New Roman"/>
          <w:i/>
          <w:sz w:val="24"/>
        </w:rPr>
        <w:t xml:space="preserve">De initiatiefnemers stellen voor om voor iedere onderneming die weet of redelijkerwijs kan vermoeden dat haar activiteit nadelige gevolgen kan hebben voor de mensenrechten, arbeidsrechten of het milieu buiten Nederland, een algemene zorgplicht in te voeren om die gevolgen te voorkomen, te beperken, ongedaan te maken, en/of te herstellen, eventueel door die activiteit te staken.  De toelichting benoemt de mogelijkheid van een onrechtmatige daadsactie om deze zorgplicht af te dwingen. </w:t>
      </w:r>
    </w:p>
    <w:p w14:paraId="04C692A9" w14:textId="77777777" w:rsidR="000D29B3" w:rsidRPr="002943D2" w:rsidRDefault="000D29B3" w:rsidP="000D29B3">
      <w:pPr>
        <w:rPr>
          <w:rFonts w:ascii="Times New Roman" w:hAnsi="Times New Roman"/>
          <w:i/>
          <w:sz w:val="24"/>
        </w:rPr>
      </w:pPr>
    </w:p>
    <w:p w14:paraId="50F51FC8" w14:textId="77777777" w:rsidR="000D29B3" w:rsidRPr="002943D2" w:rsidRDefault="000D29B3" w:rsidP="000D29B3">
      <w:pPr>
        <w:rPr>
          <w:rFonts w:ascii="Times New Roman" w:hAnsi="Times New Roman"/>
          <w:i/>
          <w:sz w:val="24"/>
        </w:rPr>
      </w:pPr>
      <w:r w:rsidRPr="002943D2">
        <w:rPr>
          <w:rFonts w:ascii="Times New Roman" w:hAnsi="Times New Roman"/>
          <w:i/>
          <w:sz w:val="24"/>
        </w:rPr>
        <w:t>Daarnaast moeten ondernemingen van een bepaalde grootte  gepaste zorgvuldigheid (due diligence) betrachten in de productieketen.  Voor het betrachten van gepaste zorgvuldigheid moeten zes stappen worden gezet, die ook in de OESO-richtlijnen staan.  Deze stappen behelzen het afleggen van verantwoording over het beleid van de onderneming (rapportage) en het voeren van een actief IMVO-beleid. Daaronder valt ook het herstellen van nadelige gevolgen van de activiteiten van de onderneming en in het uiterste geval beëindiging van de activiteiten van de onderneming. De norm van gepaste zorgvuldigheid wordt daarmee in zijn algemeenheid van vrijwillige standaard verheven tot wettelijke norm.</w:t>
      </w:r>
    </w:p>
    <w:p w14:paraId="66D112F2" w14:textId="77777777" w:rsidR="000D29B3" w:rsidRPr="002943D2" w:rsidRDefault="000D29B3" w:rsidP="000D29B3">
      <w:pPr>
        <w:rPr>
          <w:rFonts w:ascii="Times New Roman" w:hAnsi="Times New Roman"/>
          <w:i/>
          <w:sz w:val="24"/>
        </w:rPr>
      </w:pPr>
    </w:p>
    <w:p w14:paraId="7DD0BF34" w14:textId="77777777" w:rsidR="000D29B3" w:rsidRPr="002943D2" w:rsidRDefault="000D29B3" w:rsidP="000D29B3">
      <w:pPr>
        <w:rPr>
          <w:rFonts w:ascii="Times New Roman" w:hAnsi="Times New Roman"/>
          <w:i/>
          <w:sz w:val="24"/>
        </w:rPr>
      </w:pPr>
      <w:r w:rsidRPr="002943D2">
        <w:rPr>
          <w:rFonts w:ascii="Times New Roman" w:hAnsi="Times New Roman"/>
          <w:i/>
          <w:sz w:val="24"/>
        </w:rPr>
        <w:t xml:space="preserve">Volgens het voorstel zal de plicht tot het betrachten van gepaste zorgvuldigheid zowel bestuursrechtelijk als strafrechtelijk worden gehandhaafd. Bestuursrechtelijke handhaving vindt plaats door een bij amvb aan te wijzen toezichthouder die positief toezicht houdt, door het geven van voorlichting en een aanwijzing. Daarnaast houdt deze repressief toezicht, door het opleggen en openbaar maken van een last onder dwangsom of een bestuurlijke boete.  Strafrechtelijke handhaving vindt plaats op basis van de Wet op de economische delicten als de bestuurlijke handhaving niet leidt tot beëindiging van activiteiten of tot herstel.  Civielrechtelijk afdwingen van deze plicht is mogelijk door middel van een onrechtmatige daadsactie van een betrokkene die nadelige gevolgen constateert of ondervindt.  </w:t>
      </w:r>
    </w:p>
    <w:p w14:paraId="4C44204E" w14:textId="77777777" w:rsidR="000D29B3" w:rsidRPr="002943D2" w:rsidRDefault="000D29B3" w:rsidP="000D29B3">
      <w:pPr>
        <w:rPr>
          <w:rFonts w:ascii="Times New Roman" w:hAnsi="Times New Roman"/>
          <w:i/>
          <w:sz w:val="24"/>
        </w:rPr>
      </w:pPr>
    </w:p>
    <w:p w14:paraId="6C983842" w14:textId="77777777" w:rsidR="000D29B3" w:rsidRPr="002943D2" w:rsidRDefault="000D29B3" w:rsidP="000D29B3">
      <w:pPr>
        <w:rPr>
          <w:rFonts w:ascii="Times New Roman" w:hAnsi="Times New Roman"/>
          <w:i/>
          <w:sz w:val="24"/>
        </w:rPr>
      </w:pPr>
      <w:r w:rsidRPr="002943D2">
        <w:rPr>
          <w:rFonts w:ascii="Times New Roman" w:hAnsi="Times New Roman"/>
          <w:i/>
          <w:sz w:val="24"/>
        </w:rPr>
        <w:t xml:space="preserve">De wet is ook van toepassing op ondernemingen gevestigd op de openbare lichamen (BES).  Ook buitenlandse ondernemingen van een bepaalde grootte – hier gelden de criteria voor Nederlandse ondernemingen die een gepaste zorgvuldigheidsverplichting hebben – die een activiteit in Nederland verrichten of op de Nederlandse markt een product afzetten vallen onder het bereik van de wet (zowel de algemene zorgplicht als de gepaste zorgvuldigheidsverplichting).  </w:t>
      </w:r>
    </w:p>
    <w:p w14:paraId="26B339B5" w14:textId="77777777" w:rsidR="00091691" w:rsidRDefault="00091691" w:rsidP="000D29B3">
      <w:pPr>
        <w:rPr>
          <w:rFonts w:ascii="Times New Roman" w:hAnsi="Times New Roman"/>
          <w:sz w:val="24"/>
        </w:rPr>
      </w:pPr>
    </w:p>
    <w:p w14:paraId="44B9A6CD" w14:textId="77777777" w:rsidR="000D29B3" w:rsidRPr="00091691" w:rsidRDefault="000D29B3" w:rsidP="000D29B3">
      <w:pPr>
        <w:rPr>
          <w:rFonts w:ascii="Times New Roman" w:hAnsi="Times New Roman"/>
          <w:i/>
          <w:sz w:val="24"/>
        </w:rPr>
      </w:pPr>
      <w:r w:rsidRPr="00091691">
        <w:rPr>
          <w:rFonts w:ascii="Times New Roman" w:hAnsi="Times New Roman"/>
          <w:i/>
          <w:sz w:val="24"/>
        </w:rPr>
        <w:t>3.</w:t>
      </w:r>
      <w:r w:rsidRPr="00091691">
        <w:rPr>
          <w:rFonts w:ascii="Times New Roman" w:hAnsi="Times New Roman"/>
          <w:i/>
          <w:sz w:val="24"/>
        </w:rPr>
        <w:tab/>
        <w:t>Gepaste zorgvuldigheidsverplichting</w:t>
      </w:r>
    </w:p>
    <w:p w14:paraId="2140DC58" w14:textId="77777777" w:rsidR="000D29B3" w:rsidRPr="00091691" w:rsidRDefault="000D29B3" w:rsidP="000D29B3">
      <w:pPr>
        <w:rPr>
          <w:rFonts w:ascii="Times New Roman" w:hAnsi="Times New Roman"/>
          <w:i/>
          <w:sz w:val="24"/>
        </w:rPr>
      </w:pPr>
    </w:p>
    <w:p w14:paraId="5051D597" w14:textId="77777777" w:rsidR="000D29B3" w:rsidRPr="00091691" w:rsidRDefault="000D29B3" w:rsidP="000D29B3">
      <w:pPr>
        <w:rPr>
          <w:rFonts w:ascii="Times New Roman" w:hAnsi="Times New Roman"/>
          <w:i/>
          <w:sz w:val="24"/>
        </w:rPr>
      </w:pPr>
      <w:r w:rsidRPr="00091691">
        <w:rPr>
          <w:rFonts w:ascii="Times New Roman" w:hAnsi="Times New Roman"/>
          <w:i/>
          <w:sz w:val="24"/>
        </w:rPr>
        <w:t xml:space="preserve">Door de wettelijke verankering van een gepaste zorgvuldigheidsverplichting wordt beoogd een ondergrens voor internationaal maatschappelijk verantwoord en duurzaam ondernemen in te stellen. Daarbij wordt er in het wetsvoorstel voor gekozen om de wettelijke bepalingen op dit punt direct te baseren op de formuleringen in de OESO-richtlijnen. De richtlijnen bevatten ruimte voor eigen invulling door ondernemingen. De tekst van het voorstel reflecteert deze benadering. Voorts wordt de reikwijdte van het voorstel slechts beperkt door de omvang van de onderneming. Dat betekent dat er geen beperking bestaat ten aanzien van bijvoorbeeld (hoogrisico)sectoren, specifieke producten of bepaalde misstanden. Vervolgens </w:t>
      </w:r>
      <w:r w:rsidRPr="00091691">
        <w:rPr>
          <w:rFonts w:ascii="Times New Roman" w:hAnsi="Times New Roman"/>
          <w:i/>
          <w:sz w:val="24"/>
        </w:rPr>
        <w:lastRenderedPageBreak/>
        <w:t xml:space="preserve">wordt daaraan een drievoudig handhavingsmechanisme gekoppeld: civielrechtelijk, bestuursrechtelijk en strafrechtelijk. </w:t>
      </w:r>
    </w:p>
    <w:p w14:paraId="6E7BCF7B" w14:textId="77777777" w:rsidR="000D29B3" w:rsidRPr="00091691" w:rsidRDefault="000D29B3" w:rsidP="000D29B3">
      <w:pPr>
        <w:rPr>
          <w:rFonts w:ascii="Times New Roman" w:hAnsi="Times New Roman"/>
          <w:i/>
          <w:sz w:val="24"/>
        </w:rPr>
      </w:pPr>
    </w:p>
    <w:p w14:paraId="1ED3826B" w14:textId="77777777" w:rsidR="000D29B3" w:rsidRPr="00091691" w:rsidRDefault="000D29B3" w:rsidP="000D29B3">
      <w:pPr>
        <w:rPr>
          <w:rFonts w:ascii="Times New Roman" w:hAnsi="Times New Roman"/>
          <w:i/>
          <w:sz w:val="24"/>
        </w:rPr>
      </w:pPr>
      <w:r w:rsidRPr="00761225">
        <w:rPr>
          <w:rFonts w:ascii="Times New Roman" w:hAnsi="Times New Roman"/>
          <w:i/>
          <w:sz w:val="24"/>
        </w:rPr>
        <w:t>De Afdeling plaatst kritische opmerkingen bij de normstelling, uitvoerbaarheid en handhaafbaarheid van deze voorgestelde gepaste zorgvuldigheidsverplichting</w:t>
      </w:r>
      <w:r w:rsidRPr="007E5852">
        <w:rPr>
          <w:rFonts w:ascii="Times New Roman" w:hAnsi="Times New Roman"/>
          <w:i/>
          <w:sz w:val="24"/>
        </w:rPr>
        <w:t>.</w:t>
      </w:r>
    </w:p>
    <w:p w14:paraId="333F0988" w14:textId="77777777" w:rsidR="000D29B3" w:rsidRPr="00091691" w:rsidRDefault="000D29B3" w:rsidP="000D29B3">
      <w:pPr>
        <w:rPr>
          <w:rFonts w:ascii="Times New Roman" w:hAnsi="Times New Roman"/>
          <w:i/>
          <w:sz w:val="24"/>
        </w:rPr>
      </w:pPr>
    </w:p>
    <w:p w14:paraId="145D64E6" w14:textId="77777777" w:rsidR="000D29B3" w:rsidRPr="00091691" w:rsidRDefault="000D29B3" w:rsidP="000D29B3">
      <w:pPr>
        <w:rPr>
          <w:rFonts w:ascii="Times New Roman" w:hAnsi="Times New Roman"/>
          <w:i/>
          <w:sz w:val="24"/>
        </w:rPr>
      </w:pPr>
      <w:r w:rsidRPr="00091691">
        <w:rPr>
          <w:rFonts w:ascii="Times New Roman" w:hAnsi="Times New Roman"/>
          <w:i/>
          <w:sz w:val="24"/>
        </w:rPr>
        <w:t>a.</w:t>
      </w:r>
      <w:r w:rsidRPr="00091691">
        <w:rPr>
          <w:rFonts w:ascii="Times New Roman" w:hAnsi="Times New Roman"/>
          <w:i/>
          <w:sz w:val="24"/>
        </w:rPr>
        <w:tab/>
        <w:t>Normstelling</w:t>
      </w:r>
    </w:p>
    <w:p w14:paraId="5DF491C3" w14:textId="77777777" w:rsidR="000D29B3" w:rsidRPr="00091691" w:rsidRDefault="000D29B3" w:rsidP="000D29B3">
      <w:pPr>
        <w:rPr>
          <w:rFonts w:ascii="Times New Roman" w:hAnsi="Times New Roman"/>
          <w:i/>
          <w:sz w:val="24"/>
        </w:rPr>
      </w:pPr>
      <w:r w:rsidRPr="00091691">
        <w:rPr>
          <w:rFonts w:ascii="Times New Roman" w:hAnsi="Times New Roman"/>
          <w:i/>
          <w:sz w:val="24"/>
        </w:rPr>
        <w:t xml:space="preserve">De verplichting tot het betrachten van gepaste zorgvuldigheid valt uiteen in drie typen verplichtingen, die volgens de toelichting onder de noemer van een resultaats- of inspanningsverplichting kunnen worden gebracht : </w:t>
      </w:r>
    </w:p>
    <w:p w14:paraId="0A88C740" w14:textId="77777777" w:rsidR="000D29B3" w:rsidRPr="00091691" w:rsidRDefault="000D29B3" w:rsidP="000D29B3">
      <w:pPr>
        <w:rPr>
          <w:rFonts w:ascii="Times New Roman" w:hAnsi="Times New Roman"/>
          <w:i/>
          <w:sz w:val="24"/>
        </w:rPr>
      </w:pPr>
      <w:r w:rsidRPr="00091691">
        <w:rPr>
          <w:rFonts w:ascii="Times New Roman" w:hAnsi="Times New Roman"/>
          <w:i/>
          <w:sz w:val="24"/>
        </w:rPr>
        <w:t>-</w:t>
      </w:r>
      <w:r w:rsidRPr="00091691">
        <w:rPr>
          <w:rFonts w:ascii="Times New Roman" w:hAnsi="Times New Roman"/>
          <w:i/>
          <w:sz w:val="24"/>
        </w:rPr>
        <w:tab/>
        <w:t>rapportageverplichtingen (resultaatsverplichting),</w:t>
      </w:r>
    </w:p>
    <w:p w14:paraId="3C509AD2" w14:textId="77777777" w:rsidR="000D29B3" w:rsidRPr="00091691" w:rsidRDefault="000D29B3" w:rsidP="000D29B3">
      <w:pPr>
        <w:rPr>
          <w:rFonts w:ascii="Times New Roman" w:hAnsi="Times New Roman"/>
          <w:i/>
          <w:sz w:val="24"/>
        </w:rPr>
      </w:pPr>
      <w:r w:rsidRPr="00091691">
        <w:rPr>
          <w:rFonts w:ascii="Times New Roman" w:hAnsi="Times New Roman"/>
          <w:i/>
          <w:sz w:val="24"/>
        </w:rPr>
        <w:t>-</w:t>
      </w:r>
      <w:r w:rsidRPr="00091691">
        <w:rPr>
          <w:rFonts w:ascii="Times New Roman" w:hAnsi="Times New Roman"/>
          <w:i/>
          <w:sz w:val="24"/>
        </w:rPr>
        <w:tab/>
        <w:t>verplichtingen om internationaal maatschappelijk verantwoord en duurzaam ondernemen binnen de onderneming gestalte te geven en verder te ontwikkelen (inspanningsverplichting),</w:t>
      </w:r>
    </w:p>
    <w:p w14:paraId="7B504972" w14:textId="77777777" w:rsidR="000D29B3" w:rsidRPr="00091691" w:rsidRDefault="000D29B3" w:rsidP="000D29B3">
      <w:pPr>
        <w:rPr>
          <w:rFonts w:ascii="Times New Roman" w:hAnsi="Times New Roman"/>
          <w:i/>
          <w:sz w:val="24"/>
        </w:rPr>
      </w:pPr>
      <w:r w:rsidRPr="00091691">
        <w:rPr>
          <w:rFonts w:ascii="Times New Roman" w:hAnsi="Times New Roman"/>
          <w:i/>
          <w:sz w:val="24"/>
        </w:rPr>
        <w:t>-</w:t>
      </w:r>
      <w:r w:rsidRPr="00091691">
        <w:rPr>
          <w:rFonts w:ascii="Times New Roman" w:hAnsi="Times New Roman"/>
          <w:i/>
          <w:sz w:val="24"/>
        </w:rPr>
        <w:tab/>
        <w:t>verplichtingen om de nadelige gevolgen van bepaalde activiteiten van de ondernemingen op te heffen (herstelmaatregelen) en in het uiterste geval deze activiteiten te beëindigen (resultaatsverplichting).</w:t>
      </w:r>
    </w:p>
    <w:p w14:paraId="521E8E7A" w14:textId="77777777" w:rsidR="000D29B3" w:rsidRPr="00091691" w:rsidRDefault="000D29B3" w:rsidP="000D29B3">
      <w:pPr>
        <w:rPr>
          <w:rFonts w:ascii="Times New Roman" w:hAnsi="Times New Roman"/>
          <w:i/>
          <w:sz w:val="24"/>
        </w:rPr>
      </w:pPr>
    </w:p>
    <w:p w14:paraId="794CC618" w14:textId="77777777" w:rsidR="000D29B3" w:rsidRPr="00761225" w:rsidRDefault="000D29B3" w:rsidP="000D29B3">
      <w:pPr>
        <w:rPr>
          <w:rFonts w:ascii="Times New Roman" w:hAnsi="Times New Roman"/>
          <w:i/>
          <w:sz w:val="24"/>
        </w:rPr>
      </w:pPr>
      <w:r w:rsidRPr="00761225">
        <w:rPr>
          <w:rFonts w:ascii="Times New Roman" w:hAnsi="Times New Roman"/>
          <w:i/>
          <w:sz w:val="24"/>
        </w:rPr>
        <w:t>Voor al deze verplichtingen geldt dat op voorhand niet duidelijk is wat precies de ondergrens is die een onderneming niet mag overschrijden. Dit is te verklaren vanuit het karakter van de OESO-richtlijnen die zijn overgenomen in het wetsvoorstel. Dergelijke richtlijnen lenen zich er echter niet voor om zonder meer in wettelijke verplichtingen te worden omgezet zonder nadere duiding van de normstelling. Daar komt bij dat bij bestuursrechtelijke handhaving van normen met een open karakter de invulling daarvan aan de toezichthouder wordt overgelaten. Dat gaat ten koste van het primaat van de wetgever.</w:t>
      </w:r>
    </w:p>
    <w:p w14:paraId="11587684" w14:textId="77777777" w:rsidR="000D29B3" w:rsidRPr="00761225" w:rsidRDefault="000D29B3" w:rsidP="000D29B3">
      <w:pPr>
        <w:rPr>
          <w:rFonts w:ascii="Times New Roman" w:hAnsi="Times New Roman"/>
          <w:i/>
          <w:sz w:val="24"/>
        </w:rPr>
      </w:pPr>
    </w:p>
    <w:p w14:paraId="09C759BB" w14:textId="77777777" w:rsidR="000D29B3" w:rsidRPr="00761225" w:rsidRDefault="000D29B3" w:rsidP="000D29B3">
      <w:pPr>
        <w:rPr>
          <w:rFonts w:ascii="Times New Roman" w:hAnsi="Times New Roman"/>
          <w:i/>
          <w:sz w:val="24"/>
        </w:rPr>
      </w:pPr>
      <w:r w:rsidRPr="00761225">
        <w:rPr>
          <w:rFonts w:ascii="Times New Roman" w:hAnsi="Times New Roman"/>
          <w:i/>
          <w:sz w:val="24"/>
        </w:rPr>
        <w:t xml:space="preserve">Het probleem van een onduidelijke normstelling manifesteert zich bij elk van de drie typen verplichtingen. Voor de rapportageverplichtingen geldt dat niet duidelijk is wanneer en onder welke voorwaarden een beleidsdocument, plan van aanpak of rapportage van nadelige gevolgen voldoen aan de wettelijke norm.  Voor de verplichtingen tot het nemen van maatregelen binnen de ondernemingen geldt hetzelfde. De onderneming moet bijvoorbeeld ‘risico’s identificeren en prioriteren’, een ‘plan van aanpak uitvoeren’ en ‘zorgen voor een adequate aanpak van de gevonden potentiële en daadwerkelijke nadelige gevolgen’.  </w:t>
      </w:r>
    </w:p>
    <w:p w14:paraId="3FCA221E" w14:textId="77777777" w:rsidR="000D29B3" w:rsidRPr="00761225" w:rsidRDefault="000D29B3" w:rsidP="000D29B3">
      <w:pPr>
        <w:rPr>
          <w:rFonts w:ascii="Times New Roman" w:hAnsi="Times New Roman"/>
          <w:i/>
          <w:sz w:val="24"/>
        </w:rPr>
      </w:pPr>
    </w:p>
    <w:p w14:paraId="488BA1CE" w14:textId="77777777" w:rsidR="000D29B3" w:rsidRPr="00761225" w:rsidRDefault="000D29B3" w:rsidP="000D29B3">
      <w:pPr>
        <w:rPr>
          <w:rFonts w:ascii="Times New Roman" w:hAnsi="Times New Roman"/>
          <w:i/>
          <w:sz w:val="24"/>
        </w:rPr>
      </w:pPr>
      <w:r w:rsidRPr="00761225">
        <w:rPr>
          <w:rFonts w:ascii="Times New Roman" w:hAnsi="Times New Roman"/>
          <w:i/>
          <w:sz w:val="24"/>
        </w:rPr>
        <w:t xml:space="preserve">Steeds rijst de vraag welke eisen nu precies aan de ondernemingen worden gesteld. Dat is inherent aan het karakter van deze verplichtingen, omdat zij oorspronkelijk als richtlijnen geformuleerd zijn. Het wetsvoorstel voorziet in de mogelijkheid dat deze eisen bij ministeriële regeling nader worden uitgewerkt, maar deze vorm van delegatie is uitsluitend aanvaardbaar als het gaat om voorschriften van administratieve aard, uitwerking van de details van een regeling, voorschriften die dikwijls wijziging behoeven en voorschriften waarvan te voorzien is dat zij mogelijk met grote spoed moeten worden vastgesteld.  De normstelling zelf moet op wetsniveau voldoende helder zijn, eventueel met een uitwerking via een amvb. </w:t>
      </w:r>
    </w:p>
    <w:p w14:paraId="2FCB2B90" w14:textId="77777777" w:rsidR="000D29B3" w:rsidRPr="00761225" w:rsidRDefault="000D29B3" w:rsidP="000D29B3">
      <w:pPr>
        <w:rPr>
          <w:rFonts w:ascii="Times New Roman" w:hAnsi="Times New Roman"/>
          <w:i/>
          <w:sz w:val="24"/>
        </w:rPr>
      </w:pPr>
    </w:p>
    <w:p w14:paraId="2052F0FB" w14:textId="77777777" w:rsidR="000D29B3" w:rsidRPr="00091691" w:rsidRDefault="000D29B3" w:rsidP="000D29B3">
      <w:pPr>
        <w:rPr>
          <w:rFonts w:ascii="Times New Roman" w:hAnsi="Times New Roman"/>
          <w:i/>
          <w:sz w:val="24"/>
        </w:rPr>
      </w:pPr>
      <w:r w:rsidRPr="00761225">
        <w:rPr>
          <w:rFonts w:ascii="Times New Roman" w:hAnsi="Times New Roman"/>
          <w:i/>
          <w:sz w:val="24"/>
        </w:rPr>
        <w:t>De Afdeling beoordeelt het voorstel en de toelichting als onvoldoende in dit opzicht. In dit kader acht de Afdeling delegatie via een amvb gezien de ruime opzet van de wettelijke norm eerder aangewezen, eventueel aangevuld met een mogelijkheid van technische uitwerking in een ministeriële regeling.”</w:t>
      </w:r>
    </w:p>
    <w:p w14:paraId="28F39378" w14:textId="77777777" w:rsidR="000D29B3" w:rsidRPr="00091691" w:rsidRDefault="000D29B3" w:rsidP="000D29B3">
      <w:pPr>
        <w:rPr>
          <w:rFonts w:ascii="Times New Roman" w:hAnsi="Times New Roman"/>
          <w:i/>
          <w:sz w:val="24"/>
        </w:rPr>
      </w:pPr>
    </w:p>
    <w:p w14:paraId="236D249C" w14:textId="77777777" w:rsidR="000D29B3" w:rsidRPr="00091691" w:rsidRDefault="000D29B3" w:rsidP="000D29B3">
      <w:pPr>
        <w:rPr>
          <w:rFonts w:ascii="Times New Roman" w:hAnsi="Times New Roman"/>
          <w:i/>
          <w:sz w:val="24"/>
        </w:rPr>
      </w:pPr>
      <w:r w:rsidRPr="00091691">
        <w:rPr>
          <w:rFonts w:ascii="Times New Roman" w:hAnsi="Times New Roman"/>
          <w:i/>
          <w:sz w:val="24"/>
        </w:rPr>
        <w:lastRenderedPageBreak/>
        <w:t>Wat betreft de verplichting tot het nemen van herstelmaatregelen en het eventueel stopzetten van de eigen activiteiten lijkt de norm weliswaar helder, maar voor deze verplichtingen geldt dat onvoldoende duidelijk is wanneer precies deze verplichtingen gelden.  De formulering ‘het veroorzaken van of bijdragen aan nadelige gevolgen voor mensenrechten, arbeidsrechten of het milieu’ als voorwaarde voor het beëindigen van de eigen activiteiten van de onderneming is dermate ruim dat op voorhand niet duidelijk is wanneer en onder welke omstandigheden beëindiging van activiteiten aan de orde zou moeten zijn.</w:t>
      </w:r>
    </w:p>
    <w:p w14:paraId="2D222920" w14:textId="77777777" w:rsidR="000D29B3" w:rsidRPr="000D29B3" w:rsidRDefault="000D29B3" w:rsidP="000D29B3">
      <w:pPr>
        <w:rPr>
          <w:rFonts w:ascii="Times New Roman" w:hAnsi="Times New Roman"/>
          <w:sz w:val="24"/>
        </w:rPr>
      </w:pPr>
    </w:p>
    <w:p w14:paraId="129069CC" w14:textId="77777777" w:rsidR="00A60D5C" w:rsidRPr="0051793A" w:rsidRDefault="00091691" w:rsidP="00091691">
      <w:pPr>
        <w:rPr>
          <w:rFonts w:ascii="Times New Roman" w:hAnsi="Times New Roman"/>
          <w:b/>
          <w:sz w:val="24"/>
        </w:rPr>
      </w:pPr>
      <w:r w:rsidRPr="0051793A">
        <w:rPr>
          <w:rFonts w:ascii="Times New Roman" w:hAnsi="Times New Roman"/>
          <w:b/>
          <w:sz w:val="24"/>
        </w:rPr>
        <w:t xml:space="preserve">Reactie: </w:t>
      </w:r>
    </w:p>
    <w:p w14:paraId="2D884501" w14:textId="77777777" w:rsidR="002D4694" w:rsidRPr="0051793A" w:rsidRDefault="002D4694" w:rsidP="002D4694">
      <w:pPr>
        <w:rPr>
          <w:rFonts w:ascii="Times New Roman" w:hAnsi="Times New Roman"/>
          <w:sz w:val="24"/>
        </w:rPr>
      </w:pPr>
    </w:p>
    <w:p w14:paraId="166CACCA" w14:textId="77AF82B9" w:rsidR="00F91F38" w:rsidRPr="0051793A" w:rsidRDefault="007A5DF5" w:rsidP="00F91F38">
      <w:pPr>
        <w:rPr>
          <w:rFonts w:ascii="Times New Roman" w:hAnsi="Times New Roman"/>
          <w:sz w:val="24"/>
        </w:rPr>
      </w:pPr>
      <w:r w:rsidRPr="0051793A">
        <w:rPr>
          <w:rFonts w:ascii="Times New Roman" w:hAnsi="Times New Roman"/>
          <w:sz w:val="24"/>
        </w:rPr>
        <w:t>N</w:t>
      </w:r>
      <w:r w:rsidR="002D4694" w:rsidRPr="0051793A">
        <w:rPr>
          <w:rFonts w:ascii="Times New Roman" w:hAnsi="Times New Roman"/>
          <w:sz w:val="24"/>
        </w:rPr>
        <w:t>aar aanleiding van</w:t>
      </w:r>
      <w:r w:rsidRPr="0051793A">
        <w:rPr>
          <w:rFonts w:ascii="Times New Roman" w:hAnsi="Times New Roman"/>
          <w:sz w:val="24"/>
        </w:rPr>
        <w:t xml:space="preserve"> de opmerkingen in het</w:t>
      </w:r>
      <w:r w:rsidR="002D4694" w:rsidRPr="0051793A">
        <w:rPr>
          <w:rFonts w:ascii="Times New Roman" w:hAnsi="Times New Roman"/>
          <w:sz w:val="24"/>
        </w:rPr>
        <w:t xml:space="preserve"> </w:t>
      </w:r>
      <w:r w:rsidRPr="0051793A">
        <w:rPr>
          <w:rFonts w:ascii="Times New Roman" w:hAnsi="Times New Roman"/>
          <w:sz w:val="24"/>
        </w:rPr>
        <w:t>advies</w:t>
      </w:r>
      <w:r w:rsidR="002D4694" w:rsidRPr="0051793A">
        <w:rPr>
          <w:rFonts w:ascii="Times New Roman" w:hAnsi="Times New Roman"/>
          <w:sz w:val="24"/>
        </w:rPr>
        <w:t xml:space="preserve"> van de </w:t>
      </w:r>
      <w:r w:rsidR="007E5852" w:rsidRPr="0051793A">
        <w:rPr>
          <w:rFonts w:ascii="Times New Roman" w:hAnsi="Times New Roman"/>
          <w:sz w:val="24"/>
        </w:rPr>
        <w:t>Afdeling</w:t>
      </w:r>
      <w:r w:rsidR="002D4694" w:rsidRPr="0051793A">
        <w:rPr>
          <w:rFonts w:ascii="Times New Roman" w:hAnsi="Times New Roman"/>
          <w:sz w:val="24"/>
        </w:rPr>
        <w:t xml:space="preserve"> over de normstelling</w:t>
      </w:r>
      <w:r w:rsidRPr="0051793A">
        <w:rPr>
          <w:rFonts w:ascii="Times New Roman" w:hAnsi="Times New Roman"/>
          <w:sz w:val="24"/>
        </w:rPr>
        <w:t xml:space="preserve">, hebben de initiatiefnemers besloten de </w:t>
      </w:r>
      <w:r w:rsidR="00A60D5C" w:rsidRPr="0051793A">
        <w:rPr>
          <w:rFonts w:ascii="Times New Roman" w:hAnsi="Times New Roman"/>
          <w:sz w:val="24"/>
        </w:rPr>
        <w:t xml:space="preserve">normstelling in de wet </w:t>
      </w:r>
      <w:r w:rsidRPr="0051793A">
        <w:rPr>
          <w:rFonts w:ascii="Times New Roman" w:hAnsi="Times New Roman"/>
          <w:sz w:val="24"/>
        </w:rPr>
        <w:t>zelf uit te breiden</w:t>
      </w:r>
      <w:r w:rsidR="00BF2908" w:rsidRPr="0051793A">
        <w:rPr>
          <w:rFonts w:ascii="Times New Roman" w:hAnsi="Times New Roman"/>
          <w:sz w:val="24"/>
        </w:rPr>
        <w:t xml:space="preserve"> en niet in een algemene maatregel van bestuur</w:t>
      </w:r>
      <w:r w:rsidRPr="0051793A">
        <w:rPr>
          <w:rFonts w:ascii="Times New Roman" w:hAnsi="Times New Roman"/>
          <w:sz w:val="24"/>
        </w:rPr>
        <w:t xml:space="preserve">. Als het open karakter van de basisnormen die dit voorstel wettelijk </w:t>
      </w:r>
      <w:r w:rsidR="00AC3C33" w:rsidRPr="0051793A">
        <w:rPr>
          <w:rFonts w:ascii="Times New Roman" w:hAnsi="Times New Roman"/>
          <w:sz w:val="24"/>
        </w:rPr>
        <w:t xml:space="preserve">verplicht </w:t>
      </w:r>
      <w:r w:rsidRPr="0051793A">
        <w:rPr>
          <w:rFonts w:ascii="Times New Roman" w:hAnsi="Times New Roman"/>
          <w:sz w:val="24"/>
        </w:rPr>
        <w:t xml:space="preserve">wil </w:t>
      </w:r>
      <w:r w:rsidR="00AC3C33" w:rsidRPr="0051793A">
        <w:rPr>
          <w:rFonts w:ascii="Times New Roman" w:hAnsi="Times New Roman"/>
          <w:sz w:val="24"/>
        </w:rPr>
        <w:t>stellen</w:t>
      </w:r>
      <w:r w:rsidRPr="0051793A">
        <w:rPr>
          <w:rFonts w:ascii="Times New Roman" w:hAnsi="Times New Roman"/>
          <w:sz w:val="24"/>
        </w:rPr>
        <w:t xml:space="preserve"> voor onduidelijkheid bij ondernemingen zou kunnen zorgen, </w:t>
      </w:r>
      <w:r w:rsidR="00AC3C33" w:rsidRPr="0051793A">
        <w:rPr>
          <w:rFonts w:ascii="Times New Roman" w:hAnsi="Times New Roman"/>
          <w:sz w:val="24"/>
        </w:rPr>
        <w:t xml:space="preserve">kan uitwerking van deze normen in de wet zelf voor de meeste duidelijkheid zorgen. </w:t>
      </w:r>
      <w:r w:rsidR="00F91F38" w:rsidRPr="0051793A">
        <w:rPr>
          <w:rFonts w:ascii="Times New Roman" w:hAnsi="Times New Roman"/>
          <w:sz w:val="24"/>
        </w:rPr>
        <w:t xml:space="preserve">Dit </w:t>
      </w:r>
      <w:r w:rsidR="005117CB" w:rsidRPr="0051793A">
        <w:rPr>
          <w:rFonts w:ascii="Times New Roman" w:hAnsi="Times New Roman"/>
          <w:sz w:val="24"/>
        </w:rPr>
        <w:t xml:space="preserve">laatste </w:t>
      </w:r>
      <w:r w:rsidR="00F91F38" w:rsidRPr="0051793A">
        <w:rPr>
          <w:rFonts w:ascii="Times New Roman" w:hAnsi="Times New Roman"/>
          <w:sz w:val="24"/>
        </w:rPr>
        <w:t xml:space="preserve">is vooral in hoofdstuk 2 gebeurd. Door de normen die dit wetsvoorstel stelt op deze manier concreter in te vullen, willen de initiatiefnemers dit kernbezwaar van de Afdeling wegnemen. </w:t>
      </w:r>
    </w:p>
    <w:p w14:paraId="26DC3F16" w14:textId="622D7EBF" w:rsidR="00F91F38" w:rsidRPr="0051793A" w:rsidRDefault="00F91F38" w:rsidP="002D4694">
      <w:pPr>
        <w:rPr>
          <w:rFonts w:ascii="Times New Roman" w:hAnsi="Times New Roman"/>
          <w:sz w:val="24"/>
        </w:rPr>
      </w:pPr>
    </w:p>
    <w:p w14:paraId="47943934" w14:textId="321E8F09" w:rsidR="005117CB" w:rsidRPr="0051793A" w:rsidRDefault="00F91F38" w:rsidP="002D4694">
      <w:pPr>
        <w:rPr>
          <w:rFonts w:ascii="Times New Roman" w:hAnsi="Times New Roman"/>
          <w:sz w:val="24"/>
        </w:rPr>
      </w:pPr>
      <w:r w:rsidRPr="0051793A">
        <w:rPr>
          <w:rFonts w:ascii="Times New Roman" w:hAnsi="Times New Roman"/>
          <w:sz w:val="24"/>
        </w:rPr>
        <w:t xml:space="preserve">In hoofdstuk 2 </w:t>
      </w:r>
      <w:r w:rsidR="00CF7DC9" w:rsidRPr="0051793A">
        <w:rPr>
          <w:rFonts w:ascii="Times New Roman" w:hAnsi="Times New Roman"/>
          <w:sz w:val="24"/>
        </w:rPr>
        <w:t>is niet alleen het aantal artikelen nagenoeg verdubbeld, maar is ook het aantal inhoudelijke voorschriften voor de verschillende op te stellen documenten fors uitgebreid, bijvoorbeeld voor het beleidsdocument, het plan van aanpak, het klimaatplan</w:t>
      </w:r>
      <w:r w:rsidR="005228B5" w:rsidRPr="0051793A">
        <w:rPr>
          <w:rFonts w:ascii="Times New Roman" w:hAnsi="Times New Roman"/>
          <w:sz w:val="24"/>
        </w:rPr>
        <w:t xml:space="preserve"> en de jaarrapportage</w:t>
      </w:r>
      <w:r w:rsidR="00CF7DC9" w:rsidRPr="0051793A">
        <w:rPr>
          <w:rFonts w:ascii="Times New Roman" w:hAnsi="Times New Roman"/>
          <w:sz w:val="24"/>
        </w:rPr>
        <w:t xml:space="preserve">. </w:t>
      </w:r>
      <w:r w:rsidR="000B3136" w:rsidRPr="0051793A">
        <w:rPr>
          <w:rFonts w:ascii="Times New Roman" w:hAnsi="Times New Roman"/>
          <w:sz w:val="24"/>
        </w:rPr>
        <w:t xml:space="preserve">Daarnaast zijn de voorschriften voor het verrichten van een risicoanalyse en de monitoring en het bieden van herstel </w:t>
      </w:r>
      <w:r w:rsidR="009E15BC" w:rsidRPr="0051793A">
        <w:rPr>
          <w:rFonts w:ascii="Times New Roman" w:hAnsi="Times New Roman"/>
          <w:sz w:val="24"/>
        </w:rPr>
        <w:t xml:space="preserve">flink </w:t>
      </w:r>
      <w:r w:rsidR="000B3136" w:rsidRPr="0051793A">
        <w:rPr>
          <w:rFonts w:ascii="Times New Roman" w:hAnsi="Times New Roman"/>
          <w:sz w:val="24"/>
        </w:rPr>
        <w:t>uitgebreid, evenals de voorschriften voor het beëindigen van een eigen activiteit of de beïnvloeding van een zakenrelatie.</w:t>
      </w:r>
      <w:r w:rsidR="005D1006" w:rsidRPr="0051793A">
        <w:rPr>
          <w:rFonts w:ascii="Times New Roman" w:hAnsi="Times New Roman"/>
          <w:sz w:val="24"/>
        </w:rPr>
        <w:t xml:space="preserve"> Deze voorschriften zijn weliswaar nieuw in het wetsvoorstel, maar </w:t>
      </w:r>
      <w:r w:rsidR="009E15BC" w:rsidRPr="0051793A">
        <w:rPr>
          <w:rFonts w:ascii="Times New Roman" w:hAnsi="Times New Roman"/>
          <w:sz w:val="24"/>
        </w:rPr>
        <w:t xml:space="preserve">zijn </w:t>
      </w:r>
      <w:r w:rsidR="005D1006" w:rsidRPr="0051793A">
        <w:rPr>
          <w:rFonts w:ascii="Times New Roman" w:hAnsi="Times New Roman"/>
          <w:sz w:val="24"/>
        </w:rPr>
        <w:t>voor een groot deel afkomstig uit bestaande convenanten en de OESO Due Diligence Handreiking voor Maatschappelijk Verantwoord Ondernemen. In de memorie van toelichting worden de nieuwe voorschriften ook uitgebreid toegelicht</w:t>
      </w:r>
      <w:r w:rsidR="00A94C9E" w:rsidRPr="0051793A">
        <w:rPr>
          <w:rFonts w:ascii="Times New Roman" w:hAnsi="Times New Roman"/>
          <w:sz w:val="24"/>
        </w:rPr>
        <w:t xml:space="preserve"> en </w:t>
      </w:r>
      <w:r w:rsidR="00F2594A" w:rsidRPr="0051793A">
        <w:rPr>
          <w:rFonts w:ascii="Times New Roman" w:hAnsi="Times New Roman"/>
          <w:sz w:val="24"/>
        </w:rPr>
        <w:t xml:space="preserve">– zo nodig - </w:t>
      </w:r>
      <w:r w:rsidR="00A94C9E" w:rsidRPr="0051793A">
        <w:rPr>
          <w:rFonts w:ascii="Times New Roman" w:hAnsi="Times New Roman"/>
          <w:sz w:val="24"/>
        </w:rPr>
        <w:t>van voorbeelden voorzien</w:t>
      </w:r>
      <w:r w:rsidR="005D1006" w:rsidRPr="0051793A">
        <w:rPr>
          <w:rFonts w:ascii="Times New Roman" w:hAnsi="Times New Roman"/>
          <w:sz w:val="24"/>
        </w:rPr>
        <w:t xml:space="preserve">. </w:t>
      </w:r>
    </w:p>
    <w:p w14:paraId="5FA90AE5" w14:textId="2055C58A" w:rsidR="00F248E2" w:rsidRPr="0051793A" w:rsidRDefault="007B4FF0" w:rsidP="002D4694">
      <w:pPr>
        <w:rPr>
          <w:rFonts w:ascii="Times New Roman" w:hAnsi="Times New Roman"/>
          <w:sz w:val="24"/>
        </w:rPr>
      </w:pPr>
      <w:r w:rsidRPr="0051793A">
        <w:rPr>
          <w:rFonts w:ascii="Times New Roman" w:hAnsi="Times New Roman"/>
          <w:sz w:val="24"/>
        </w:rPr>
        <w:t>In combinatie</w:t>
      </w:r>
      <w:r w:rsidR="005D1006" w:rsidRPr="0051793A">
        <w:rPr>
          <w:rFonts w:ascii="Times New Roman" w:hAnsi="Times New Roman"/>
          <w:sz w:val="24"/>
        </w:rPr>
        <w:t xml:space="preserve"> </w:t>
      </w:r>
      <w:r w:rsidR="00F248E2" w:rsidRPr="0051793A">
        <w:rPr>
          <w:rFonts w:ascii="Times New Roman" w:hAnsi="Times New Roman"/>
          <w:sz w:val="24"/>
        </w:rPr>
        <w:t xml:space="preserve">met de </w:t>
      </w:r>
      <w:r w:rsidR="005117CB" w:rsidRPr="0051793A">
        <w:rPr>
          <w:rFonts w:ascii="Times New Roman" w:hAnsi="Times New Roman"/>
          <w:sz w:val="24"/>
        </w:rPr>
        <w:t xml:space="preserve">op 23 februari 2022 verschenen </w:t>
      </w:r>
      <w:r w:rsidR="009E15BC" w:rsidRPr="0051793A">
        <w:rPr>
          <w:rFonts w:ascii="Times New Roman" w:hAnsi="Times New Roman"/>
          <w:sz w:val="24"/>
        </w:rPr>
        <w:t xml:space="preserve">tekst en preambule bij de </w:t>
      </w:r>
      <w:r w:rsidR="00F248E2" w:rsidRPr="0051793A">
        <w:rPr>
          <w:rFonts w:ascii="Times New Roman" w:hAnsi="Times New Roman"/>
          <w:sz w:val="24"/>
        </w:rPr>
        <w:t>conceptrichtlijn</w:t>
      </w:r>
      <w:r w:rsidR="005117CB" w:rsidRPr="0051793A">
        <w:rPr>
          <w:rFonts w:ascii="Times New Roman" w:hAnsi="Times New Roman"/>
          <w:sz w:val="24"/>
        </w:rPr>
        <w:t xml:space="preserve"> inzake </w:t>
      </w:r>
      <w:r w:rsidR="00F248E2" w:rsidRPr="0051793A">
        <w:rPr>
          <w:rFonts w:ascii="Times New Roman" w:hAnsi="Times New Roman"/>
          <w:sz w:val="24"/>
        </w:rPr>
        <w:t xml:space="preserve">gepaste zorgvuldigheid </w:t>
      </w:r>
      <w:r w:rsidR="005117CB" w:rsidRPr="0051793A">
        <w:rPr>
          <w:rFonts w:ascii="Times New Roman" w:hAnsi="Times New Roman"/>
          <w:sz w:val="24"/>
        </w:rPr>
        <w:t xml:space="preserve">in het bedrijfsleven op het gebied van duurzaamheid </w:t>
      </w:r>
      <w:r w:rsidR="005D1006" w:rsidRPr="0051793A">
        <w:rPr>
          <w:rFonts w:ascii="Times New Roman" w:hAnsi="Times New Roman"/>
          <w:sz w:val="24"/>
        </w:rPr>
        <w:t>achten de initiatiefnemers dat de normstelling voor zowel de toezichthouder als de onderneming</w:t>
      </w:r>
      <w:r w:rsidR="005117CB" w:rsidRPr="0051793A">
        <w:rPr>
          <w:rFonts w:ascii="Times New Roman" w:hAnsi="Times New Roman"/>
          <w:sz w:val="24"/>
        </w:rPr>
        <w:t>en</w:t>
      </w:r>
      <w:r w:rsidR="005D1006" w:rsidRPr="0051793A">
        <w:rPr>
          <w:rFonts w:ascii="Times New Roman" w:hAnsi="Times New Roman"/>
          <w:sz w:val="24"/>
        </w:rPr>
        <w:t xml:space="preserve"> voldoende duidelijk is om hun activiteiten op te kunnen baseren.</w:t>
      </w:r>
      <w:r w:rsidR="003D57AA" w:rsidRPr="0051793A">
        <w:rPr>
          <w:rFonts w:ascii="Times New Roman" w:hAnsi="Times New Roman"/>
          <w:sz w:val="24"/>
        </w:rPr>
        <w:t xml:space="preserve"> </w:t>
      </w:r>
    </w:p>
    <w:p w14:paraId="45CAC3D9" w14:textId="77777777" w:rsidR="00A94C9E" w:rsidRPr="0051793A" w:rsidRDefault="00A94C9E" w:rsidP="002D4694">
      <w:pPr>
        <w:rPr>
          <w:rFonts w:ascii="Times New Roman" w:hAnsi="Times New Roman"/>
          <w:sz w:val="24"/>
        </w:rPr>
      </w:pPr>
    </w:p>
    <w:p w14:paraId="673B5CDB" w14:textId="22575B8B" w:rsidR="00CF7DC9" w:rsidRPr="0051793A" w:rsidRDefault="003D57AA" w:rsidP="002D4694">
      <w:pPr>
        <w:rPr>
          <w:rFonts w:ascii="Times New Roman" w:hAnsi="Times New Roman"/>
          <w:sz w:val="24"/>
        </w:rPr>
      </w:pPr>
      <w:r w:rsidRPr="0051793A">
        <w:rPr>
          <w:rFonts w:ascii="Times New Roman" w:hAnsi="Times New Roman"/>
          <w:sz w:val="24"/>
        </w:rPr>
        <w:t>In dit oordeel voelen de initiatiefnemers zich gesterkt door jurisprudentie van de Afdeling bestuursrechtspraak van de Raad van State.</w:t>
      </w:r>
      <w:r w:rsidR="00F519BC" w:rsidRPr="0051793A">
        <w:rPr>
          <w:rFonts w:ascii="Times New Roman" w:hAnsi="Times New Roman"/>
          <w:sz w:val="24"/>
        </w:rPr>
        <w:t xml:space="preserve"> In</w:t>
      </w:r>
      <w:r w:rsidR="00F248E2" w:rsidRPr="0051793A">
        <w:rPr>
          <w:rFonts w:ascii="Times New Roman" w:hAnsi="Times New Roman"/>
          <w:sz w:val="24"/>
        </w:rPr>
        <w:t xml:space="preserve"> verschillende zaken over </w:t>
      </w:r>
      <w:r w:rsidR="00910065" w:rsidRPr="0051793A">
        <w:rPr>
          <w:rFonts w:ascii="Times New Roman" w:hAnsi="Times New Roman"/>
          <w:sz w:val="24"/>
        </w:rPr>
        <w:t xml:space="preserve">het stelsel van gepaste zorgvuldigheid op grond van </w:t>
      </w:r>
      <w:r w:rsidR="00F248E2" w:rsidRPr="0051793A">
        <w:rPr>
          <w:rFonts w:ascii="Times New Roman" w:hAnsi="Times New Roman"/>
          <w:sz w:val="24"/>
        </w:rPr>
        <w:t xml:space="preserve">de Houtverordening, </w:t>
      </w:r>
      <w:r w:rsidR="00A94C9E" w:rsidRPr="0051793A">
        <w:rPr>
          <w:rFonts w:ascii="Times New Roman" w:hAnsi="Times New Roman"/>
          <w:sz w:val="24"/>
        </w:rPr>
        <w:t xml:space="preserve">faalden de betogen </w:t>
      </w:r>
      <w:r w:rsidR="00F248E2" w:rsidRPr="0051793A">
        <w:rPr>
          <w:rFonts w:ascii="Times New Roman" w:hAnsi="Times New Roman"/>
          <w:sz w:val="24"/>
        </w:rPr>
        <w:t>dat er ‘onvoldoende duidelijkheid was over de toepassing van het stelsel van zorgvuldigheidseisen’ en ‘</w:t>
      </w:r>
      <w:r w:rsidR="00A94C9E" w:rsidRPr="0051793A">
        <w:rPr>
          <w:rFonts w:ascii="Times New Roman" w:hAnsi="Times New Roman"/>
          <w:sz w:val="24"/>
        </w:rPr>
        <w:t xml:space="preserve">dat </w:t>
      </w:r>
      <w:r w:rsidR="00F248E2" w:rsidRPr="0051793A">
        <w:rPr>
          <w:rFonts w:ascii="Times New Roman" w:hAnsi="Times New Roman"/>
          <w:sz w:val="24"/>
        </w:rPr>
        <w:t>de toezichthouder duidelijker had moeten aangeven welke wijzigingen zij moesten aanbrengen om geen dwangsommen te verbeuren’</w:t>
      </w:r>
      <w:r w:rsidR="00A94C9E" w:rsidRPr="0051793A">
        <w:rPr>
          <w:rFonts w:ascii="Times New Roman" w:hAnsi="Times New Roman"/>
          <w:sz w:val="24"/>
        </w:rPr>
        <w:t>. D</w:t>
      </w:r>
      <w:r w:rsidR="00F248E2" w:rsidRPr="0051793A">
        <w:rPr>
          <w:rFonts w:ascii="Times New Roman" w:hAnsi="Times New Roman"/>
          <w:sz w:val="24"/>
        </w:rPr>
        <w:t xml:space="preserve">e Afdeling bestuursrechtspraak </w:t>
      </w:r>
      <w:r w:rsidR="00A94C9E" w:rsidRPr="0051793A">
        <w:rPr>
          <w:rFonts w:ascii="Times New Roman" w:hAnsi="Times New Roman"/>
          <w:sz w:val="24"/>
        </w:rPr>
        <w:t>gaf in antwoord op deze betogen steeds</w:t>
      </w:r>
      <w:r w:rsidR="00F248E2" w:rsidRPr="0051793A">
        <w:rPr>
          <w:rFonts w:ascii="Times New Roman" w:hAnsi="Times New Roman"/>
          <w:sz w:val="24"/>
        </w:rPr>
        <w:t xml:space="preserve"> het oordeel dat ‘de Houtverordening, de Uitvoeringsverordening en de richtsnoeren voldoende duidelijk maken welke elementen het stelsel van zorgvuldigheidseisen behelst en hoe deze kunnen worden ingevuld’.</w:t>
      </w:r>
      <w:r w:rsidR="00910065" w:rsidRPr="0051793A">
        <w:rPr>
          <w:rStyle w:val="Voetnootmarkering"/>
          <w:rFonts w:ascii="Times New Roman" w:hAnsi="Times New Roman"/>
          <w:sz w:val="24"/>
        </w:rPr>
        <w:footnoteReference w:id="1"/>
      </w:r>
      <w:r w:rsidR="00F248E2" w:rsidRPr="0051793A">
        <w:rPr>
          <w:rFonts w:ascii="Times New Roman" w:hAnsi="Times New Roman"/>
          <w:sz w:val="24"/>
        </w:rPr>
        <w:t xml:space="preserve"> </w:t>
      </w:r>
      <w:r w:rsidR="005117CB" w:rsidRPr="0051793A">
        <w:rPr>
          <w:rFonts w:ascii="Times New Roman" w:hAnsi="Times New Roman"/>
          <w:sz w:val="24"/>
        </w:rPr>
        <w:t xml:space="preserve">Hoewel deze zaken betrekking hadden op het gepaste zorgvuldigheidstelsel van de Houtverordening, zijn de initiatiefnemers van mening dat er voldoende overeenkomsten </w:t>
      </w:r>
      <w:r w:rsidR="00F2594A" w:rsidRPr="0051793A">
        <w:rPr>
          <w:rFonts w:ascii="Times New Roman" w:hAnsi="Times New Roman"/>
          <w:sz w:val="24"/>
        </w:rPr>
        <w:t xml:space="preserve">zijn </w:t>
      </w:r>
      <w:r w:rsidR="005117CB" w:rsidRPr="0051793A">
        <w:rPr>
          <w:rFonts w:ascii="Times New Roman" w:hAnsi="Times New Roman"/>
          <w:sz w:val="24"/>
        </w:rPr>
        <w:t xml:space="preserve">tussen dat stelsel en het voorgestelde gepaste zorgvuldigheidstelsel </w:t>
      </w:r>
      <w:r w:rsidR="00F2594A" w:rsidRPr="0051793A">
        <w:rPr>
          <w:rFonts w:ascii="Times New Roman" w:hAnsi="Times New Roman"/>
          <w:sz w:val="24"/>
        </w:rPr>
        <w:t xml:space="preserve">om zich </w:t>
      </w:r>
      <w:r w:rsidR="00001CC4" w:rsidRPr="0051793A">
        <w:rPr>
          <w:rFonts w:ascii="Times New Roman" w:hAnsi="Times New Roman"/>
          <w:sz w:val="24"/>
        </w:rPr>
        <w:t>het eerdergenoemde</w:t>
      </w:r>
      <w:r w:rsidR="00F2594A" w:rsidRPr="0051793A">
        <w:rPr>
          <w:rFonts w:ascii="Times New Roman" w:hAnsi="Times New Roman"/>
          <w:sz w:val="24"/>
        </w:rPr>
        <w:t xml:space="preserve"> positieve oordeel aan te meten.</w:t>
      </w:r>
    </w:p>
    <w:p w14:paraId="277D91D4" w14:textId="0278784B" w:rsidR="0013541D" w:rsidRPr="00360466" w:rsidRDefault="0013541D" w:rsidP="00360466">
      <w:pPr>
        <w:rPr>
          <w:rFonts w:ascii="Times New Roman" w:hAnsi="Times New Roman"/>
          <w:color w:val="0070C0"/>
          <w:sz w:val="24"/>
        </w:rPr>
      </w:pPr>
    </w:p>
    <w:p w14:paraId="7167C6FA" w14:textId="77777777" w:rsidR="00091691" w:rsidRDefault="00091691" w:rsidP="000D29B3">
      <w:pPr>
        <w:rPr>
          <w:rFonts w:ascii="Times New Roman" w:hAnsi="Times New Roman"/>
          <w:sz w:val="24"/>
        </w:rPr>
      </w:pPr>
    </w:p>
    <w:p w14:paraId="35494F85" w14:textId="77777777" w:rsidR="000D29B3" w:rsidRPr="00091691" w:rsidRDefault="000D29B3" w:rsidP="000D29B3">
      <w:pPr>
        <w:rPr>
          <w:rFonts w:ascii="Times New Roman" w:hAnsi="Times New Roman"/>
          <w:i/>
          <w:sz w:val="24"/>
        </w:rPr>
      </w:pPr>
      <w:r w:rsidRPr="00091691">
        <w:rPr>
          <w:rFonts w:ascii="Times New Roman" w:hAnsi="Times New Roman"/>
          <w:i/>
          <w:sz w:val="24"/>
        </w:rPr>
        <w:t xml:space="preserve">b. </w:t>
      </w:r>
      <w:r w:rsidRPr="00091691">
        <w:rPr>
          <w:rFonts w:ascii="Times New Roman" w:hAnsi="Times New Roman"/>
          <w:i/>
          <w:sz w:val="24"/>
        </w:rPr>
        <w:tab/>
        <w:t>Uitvoerbaarheid</w:t>
      </w:r>
    </w:p>
    <w:p w14:paraId="587C6DF8" w14:textId="77777777" w:rsidR="000D29B3" w:rsidRPr="00761225" w:rsidRDefault="000D29B3" w:rsidP="000D29B3">
      <w:pPr>
        <w:rPr>
          <w:rFonts w:ascii="Times New Roman" w:hAnsi="Times New Roman"/>
          <w:i/>
          <w:sz w:val="24"/>
        </w:rPr>
      </w:pPr>
      <w:r w:rsidRPr="00091691">
        <w:rPr>
          <w:rFonts w:ascii="Times New Roman" w:hAnsi="Times New Roman"/>
          <w:i/>
          <w:sz w:val="24"/>
        </w:rPr>
        <w:t>Naast de open normstelling kent het voorstel een ruime reikwijdte aangezien het niet beperkt is tot bepaalde producten, sectoren of misstanden. De open normstelling en ruime reikwijdte van het voorstel hebben consequenties voor de uitvoerbaarheid van het voorstel voor ondernemingen</w:t>
      </w:r>
      <w:r w:rsidRPr="00761225">
        <w:rPr>
          <w:rFonts w:ascii="Times New Roman" w:hAnsi="Times New Roman"/>
          <w:i/>
          <w:sz w:val="24"/>
        </w:rPr>
        <w:t>. Weliswaar mag de onderneming zelf risico’s prioriteren en rangschikken, maar het is onduidelijk welke vrijheid de onderneming nu precies heeft. Daarom is het voorstel in strijd met het beginsel van rechtszekerheid.</w:t>
      </w:r>
    </w:p>
    <w:p w14:paraId="389395F7" w14:textId="77777777" w:rsidR="000D29B3" w:rsidRPr="00761225" w:rsidRDefault="000D29B3" w:rsidP="000D29B3">
      <w:pPr>
        <w:rPr>
          <w:rFonts w:ascii="Times New Roman" w:hAnsi="Times New Roman"/>
          <w:i/>
          <w:sz w:val="24"/>
        </w:rPr>
      </w:pPr>
    </w:p>
    <w:p w14:paraId="10ECFA87" w14:textId="77777777" w:rsidR="000D29B3" w:rsidRPr="00761225" w:rsidRDefault="000D29B3" w:rsidP="000D29B3">
      <w:pPr>
        <w:rPr>
          <w:rFonts w:ascii="Times New Roman" w:hAnsi="Times New Roman"/>
          <w:i/>
          <w:sz w:val="24"/>
        </w:rPr>
      </w:pPr>
      <w:r w:rsidRPr="00761225">
        <w:rPr>
          <w:rFonts w:ascii="Times New Roman" w:hAnsi="Times New Roman"/>
          <w:i/>
          <w:sz w:val="24"/>
        </w:rPr>
        <w:t xml:space="preserve">Ook houdt het voorstel onvoldoende rekening met de beperkte slagkracht van ondernemingen in het buitenland bij het ontbreken van (voldoende) internationale consensus over concrete misstanden. Gewezen kan worden op lange, wijdvertakte en complexe productieketens, gebrek aan informatie en transparantie, tegenwerking van lokale actoren, en derhalve de moeilijke afwegingen die ondernemingen moeten maken wanneer zij internationaal handelen.  </w:t>
      </w:r>
    </w:p>
    <w:p w14:paraId="6E53BFB1" w14:textId="77777777" w:rsidR="000D29B3" w:rsidRPr="00761225" w:rsidRDefault="000D29B3" w:rsidP="000D29B3">
      <w:pPr>
        <w:rPr>
          <w:rFonts w:ascii="Times New Roman" w:hAnsi="Times New Roman"/>
          <w:i/>
          <w:sz w:val="24"/>
        </w:rPr>
      </w:pPr>
    </w:p>
    <w:p w14:paraId="1DEDE16A" w14:textId="77777777" w:rsidR="000D29B3" w:rsidRPr="00761225" w:rsidRDefault="000D29B3" w:rsidP="000D29B3">
      <w:pPr>
        <w:rPr>
          <w:rFonts w:ascii="Times New Roman" w:hAnsi="Times New Roman"/>
          <w:i/>
          <w:sz w:val="24"/>
        </w:rPr>
      </w:pPr>
      <w:bookmarkStart w:id="1" w:name="_Hlk92198807"/>
      <w:r w:rsidRPr="00761225">
        <w:rPr>
          <w:rFonts w:ascii="Times New Roman" w:hAnsi="Times New Roman"/>
          <w:i/>
          <w:sz w:val="24"/>
        </w:rPr>
        <w:t>In dat verband komt in het voorstel onvoldoende tot uitdrukking in hoeverre de verplichtingen die aan ondernemingen worden opgelegd evenredig zijn in het licht van de reële mogelijkheden om daaraan adequaat uitvoering te geven. Daarbij is de onzekerheid over de omvang van de regeldruk die dit voorstel met zich brengt eveneens een relevante factor.  Bovendien is onduidelijk wanneer van een onderneming vereist wordt om de activiteiten te beëindigen. Volgens de toelichting is beëindiging van activiteiten de allerlaatste optie en moet dit veeleer voorkomen worden.  Dat komt echter niet in de tekst van het voorstel tot uiting</w:t>
      </w:r>
      <w:bookmarkEnd w:id="1"/>
      <w:r w:rsidRPr="00761225">
        <w:rPr>
          <w:rFonts w:ascii="Times New Roman" w:hAnsi="Times New Roman"/>
          <w:i/>
          <w:sz w:val="24"/>
        </w:rPr>
        <w:t>.</w:t>
      </w:r>
    </w:p>
    <w:p w14:paraId="49ED5994" w14:textId="77777777" w:rsidR="000D29B3" w:rsidRPr="00761225" w:rsidRDefault="000D29B3" w:rsidP="000D29B3">
      <w:pPr>
        <w:rPr>
          <w:rFonts w:ascii="Times New Roman" w:hAnsi="Times New Roman"/>
          <w:sz w:val="24"/>
        </w:rPr>
      </w:pPr>
      <w:r w:rsidRPr="00761225">
        <w:rPr>
          <w:rFonts w:ascii="Times New Roman" w:hAnsi="Times New Roman"/>
          <w:sz w:val="24"/>
        </w:rPr>
        <w:t> </w:t>
      </w:r>
    </w:p>
    <w:p w14:paraId="319253D7" w14:textId="55FB78D4" w:rsidR="00091691" w:rsidRPr="0051793A" w:rsidRDefault="00091691" w:rsidP="00091691">
      <w:pPr>
        <w:rPr>
          <w:rFonts w:ascii="Times New Roman" w:hAnsi="Times New Roman"/>
          <w:b/>
          <w:sz w:val="24"/>
        </w:rPr>
      </w:pPr>
      <w:r w:rsidRPr="0051793A">
        <w:rPr>
          <w:rFonts w:ascii="Times New Roman" w:hAnsi="Times New Roman"/>
          <w:b/>
          <w:sz w:val="24"/>
        </w:rPr>
        <w:t xml:space="preserve">Reactie: </w:t>
      </w:r>
    </w:p>
    <w:p w14:paraId="2B5734E8" w14:textId="4B958498" w:rsidR="00DB0F94" w:rsidRPr="0051793A" w:rsidRDefault="00DB0F94" w:rsidP="00091691">
      <w:pPr>
        <w:rPr>
          <w:rFonts w:ascii="Times New Roman" w:hAnsi="Times New Roman"/>
          <w:b/>
          <w:sz w:val="24"/>
        </w:rPr>
      </w:pPr>
    </w:p>
    <w:p w14:paraId="2AEE85F5" w14:textId="650F8BF8" w:rsidR="008E067C" w:rsidRPr="0051793A" w:rsidRDefault="008D74EF" w:rsidP="00091691">
      <w:pPr>
        <w:rPr>
          <w:rFonts w:ascii="Times New Roman" w:hAnsi="Times New Roman"/>
          <w:sz w:val="24"/>
        </w:rPr>
      </w:pPr>
      <w:r w:rsidRPr="0051793A">
        <w:rPr>
          <w:rFonts w:ascii="Times New Roman" w:hAnsi="Times New Roman"/>
          <w:sz w:val="24"/>
        </w:rPr>
        <w:t xml:space="preserve">Doordat de verplichtingen voor ondernemingen in het aangepaste wetsvoorstel concreter uitgewerkt worden in de artikelen </w:t>
      </w:r>
      <w:r w:rsidR="00C042D0" w:rsidRPr="0051793A">
        <w:rPr>
          <w:rFonts w:ascii="Times New Roman" w:hAnsi="Times New Roman"/>
          <w:sz w:val="24"/>
        </w:rPr>
        <w:t xml:space="preserve">en toelichting </w:t>
      </w:r>
      <w:r w:rsidRPr="0051793A">
        <w:rPr>
          <w:rFonts w:ascii="Times New Roman" w:hAnsi="Times New Roman"/>
          <w:sz w:val="24"/>
        </w:rPr>
        <w:t xml:space="preserve">zijn de initiatiefnemers aan de bezwaren van de </w:t>
      </w:r>
      <w:r w:rsidR="007E5852" w:rsidRPr="0051793A">
        <w:rPr>
          <w:rFonts w:ascii="Times New Roman" w:hAnsi="Times New Roman"/>
          <w:sz w:val="24"/>
        </w:rPr>
        <w:t>Afdeling</w:t>
      </w:r>
      <w:r w:rsidRPr="0051793A">
        <w:rPr>
          <w:rFonts w:ascii="Times New Roman" w:hAnsi="Times New Roman"/>
          <w:sz w:val="24"/>
        </w:rPr>
        <w:t xml:space="preserve"> </w:t>
      </w:r>
      <w:r w:rsidR="00C042D0" w:rsidRPr="0051793A">
        <w:rPr>
          <w:rFonts w:ascii="Times New Roman" w:hAnsi="Times New Roman"/>
          <w:sz w:val="24"/>
        </w:rPr>
        <w:t xml:space="preserve">advisering over </w:t>
      </w:r>
      <w:r w:rsidRPr="0051793A">
        <w:rPr>
          <w:rFonts w:ascii="Times New Roman" w:hAnsi="Times New Roman"/>
          <w:sz w:val="24"/>
        </w:rPr>
        <w:t>de uitvoerbaarheid tegemoet gekomen. Strijdigheid met het beginsel van rechtszekerheid wordt hiermee ook ondervangen</w:t>
      </w:r>
      <w:r w:rsidR="00ED6469" w:rsidRPr="0051793A">
        <w:rPr>
          <w:rFonts w:ascii="Times New Roman" w:hAnsi="Times New Roman"/>
          <w:sz w:val="24"/>
        </w:rPr>
        <w:t xml:space="preserve">, </w:t>
      </w:r>
      <w:r w:rsidR="00C042D0" w:rsidRPr="0051793A">
        <w:rPr>
          <w:rFonts w:ascii="Times New Roman" w:hAnsi="Times New Roman"/>
          <w:sz w:val="24"/>
        </w:rPr>
        <w:t xml:space="preserve">omdat </w:t>
      </w:r>
      <w:r w:rsidR="00ED6469" w:rsidRPr="0051793A">
        <w:rPr>
          <w:rFonts w:ascii="Times New Roman" w:hAnsi="Times New Roman"/>
          <w:sz w:val="24"/>
        </w:rPr>
        <w:t xml:space="preserve">hiermee meer precies omschreven is wat van ondernemingen verwacht wordt. </w:t>
      </w:r>
    </w:p>
    <w:p w14:paraId="13E68FD4" w14:textId="77777777" w:rsidR="001D267C" w:rsidRPr="0051793A" w:rsidRDefault="001D267C" w:rsidP="00091691">
      <w:pPr>
        <w:rPr>
          <w:rFonts w:ascii="Times New Roman" w:hAnsi="Times New Roman"/>
          <w:sz w:val="24"/>
        </w:rPr>
      </w:pPr>
    </w:p>
    <w:p w14:paraId="2B1D6A7C" w14:textId="22832568" w:rsidR="008D74EF" w:rsidRPr="0051793A" w:rsidRDefault="00E60763" w:rsidP="00091691">
      <w:pPr>
        <w:rPr>
          <w:rFonts w:ascii="Times New Roman" w:hAnsi="Times New Roman"/>
          <w:sz w:val="24"/>
        </w:rPr>
      </w:pPr>
      <w:r w:rsidRPr="0051793A">
        <w:rPr>
          <w:rFonts w:ascii="Times New Roman" w:hAnsi="Times New Roman"/>
          <w:sz w:val="24"/>
        </w:rPr>
        <w:t>Over</w:t>
      </w:r>
      <w:r w:rsidR="008D74EF" w:rsidRPr="0051793A">
        <w:rPr>
          <w:rFonts w:ascii="Times New Roman" w:hAnsi="Times New Roman"/>
          <w:sz w:val="24"/>
        </w:rPr>
        <w:t xml:space="preserve"> de prioritering van de risico’s, wordt nu </w:t>
      </w:r>
      <w:r w:rsidR="00624565" w:rsidRPr="0051793A">
        <w:rPr>
          <w:rFonts w:ascii="Times New Roman" w:hAnsi="Times New Roman"/>
          <w:sz w:val="24"/>
        </w:rPr>
        <w:t>artikel 2.3.1 uitgewerkt wat dit inhoudt</w:t>
      </w:r>
      <w:r w:rsidRPr="0051793A">
        <w:rPr>
          <w:rFonts w:ascii="Times New Roman" w:hAnsi="Times New Roman"/>
          <w:sz w:val="24"/>
        </w:rPr>
        <w:t xml:space="preserve">: </w:t>
      </w:r>
      <w:r w:rsidR="006B780D" w:rsidRPr="0051793A">
        <w:rPr>
          <w:rFonts w:ascii="Times New Roman" w:hAnsi="Times New Roman"/>
          <w:sz w:val="24"/>
        </w:rPr>
        <w:t xml:space="preserve">een analyse van de </w:t>
      </w:r>
      <w:r w:rsidR="001D267C" w:rsidRPr="0051793A">
        <w:rPr>
          <w:rFonts w:ascii="Times New Roman" w:hAnsi="Times New Roman"/>
          <w:sz w:val="24"/>
        </w:rPr>
        <w:t>waardeketen</w:t>
      </w:r>
      <w:r w:rsidR="006B780D" w:rsidRPr="0051793A">
        <w:rPr>
          <w:rFonts w:ascii="Times New Roman" w:hAnsi="Times New Roman"/>
          <w:sz w:val="24"/>
        </w:rPr>
        <w:t>, een inventarisering van de risico’s die verband houden met de sector, de geografie en de product- en ondernemingsgebonden risico</w:t>
      </w:r>
      <w:r w:rsidR="005A708A" w:rsidRPr="0051793A">
        <w:rPr>
          <w:rFonts w:ascii="Times New Roman" w:hAnsi="Times New Roman"/>
          <w:sz w:val="24"/>
        </w:rPr>
        <w:t xml:space="preserve">factoren. Ook geeft het artikel aan op welke manieren informatie hierover </w:t>
      </w:r>
      <w:r w:rsidRPr="0051793A">
        <w:rPr>
          <w:rFonts w:ascii="Times New Roman" w:hAnsi="Times New Roman"/>
          <w:sz w:val="24"/>
        </w:rPr>
        <w:t xml:space="preserve">kan worden </w:t>
      </w:r>
      <w:r w:rsidR="005A708A" w:rsidRPr="0051793A">
        <w:rPr>
          <w:rFonts w:ascii="Times New Roman" w:hAnsi="Times New Roman"/>
          <w:sz w:val="24"/>
        </w:rPr>
        <w:t xml:space="preserve">ingewonnen </w:t>
      </w:r>
      <w:r w:rsidR="001D267C" w:rsidRPr="0051793A">
        <w:rPr>
          <w:rFonts w:ascii="Times New Roman" w:hAnsi="Times New Roman"/>
          <w:sz w:val="24"/>
        </w:rPr>
        <w:t>en welke bronnen daarvoor gebruikt mogen worden</w:t>
      </w:r>
      <w:r w:rsidR="005A708A" w:rsidRPr="0051793A">
        <w:rPr>
          <w:rFonts w:ascii="Times New Roman" w:hAnsi="Times New Roman"/>
          <w:sz w:val="24"/>
        </w:rPr>
        <w:t xml:space="preserve">. </w:t>
      </w:r>
    </w:p>
    <w:p w14:paraId="59D88F15" w14:textId="63F5FC0F" w:rsidR="002F3B31" w:rsidRPr="0051793A" w:rsidRDefault="002F3B31" w:rsidP="00091691">
      <w:pPr>
        <w:rPr>
          <w:rFonts w:ascii="Times New Roman" w:hAnsi="Times New Roman"/>
          <w:sz w:val="24"/>
        </w:rPr>
      </w:pPr>
    </w:p>
    <w:p w14:paraId="1E6B79BC" w14:textId="6BB097F7" w:rsidR="0006584F" w:rsidRPr="0051793A" w:rsidRDefault="00C042D0">
      <w:pPr>
        <w:rPr>
          <w:rFonts w:ascii="Times New Roman" w:hAnsi="Times New Roman"/>
          <w:sz w:val="24"/>
        </w:rPr>
      </w:pPr>
      <w:r w:rsidRPr="0051793A">
        <w:rPr>
          <w:rFonts w:ascii="Times New Roman" w:hAnsi="Times New Roman"/>
          <w:sz w:val="24"/>
        </w:rPr>
        <w:t>Wat de</w:t>
      </w:r>
      <w:r w:rsidR="002F3B31" w:rsidRPr="0051793A">
        <w:rPr>
          <w:rFonts w:ascii="Times New Roman" w:hAnsi="Times New Roman"/>
          <w:sz w:val="24"/>
        </w:rPr>
        <w:t xml:space="preserve"> beperkte slagkracht </w:t>
      </w:r>
      <w:r w:rsidRPr="0051793A">
        <w:rPr>
          <w:rFonts w:ascii="Times New Roman" w:hAnsi="Times New Roman"/>
          <w:sz w:val="24"/>
        </w:rPr>
        <w:t xml:space="preserve">in het buitenland en de </w:t>
      </w:r>
      <w:r w:rsidR="002F3B31" w:rsidRPr="0051793A">
        <w:rPr>
          <w:rFonts w:ascii="Times New Roman" w:hAnsi="Times New Roman"/>
          <w:sz w:val="24"/>
        </w:rPr>
        <w:t xml:space="preserve">internationale consensus over concrete misstanden </w:t>
      </w:r>
      <w:r w:rsidRPr="0051793A">
        <w:rPr>
          <w:rFonts w:ascii="Times New Roman" w:hAnsi="Times New Roman"/>
          <w:sz w:val="24"/>
        </w:rPr>
        <w:t xml:space="preserve">betreft </w:t>
      </w:r>
      <w:r w:rsidR="00296EA2" w:rsidRPr="0051793A">
        <w:rPr>
          <w:rFonts w:ascii="Times New Roman" w:hAnsi="Times New Roman"/>
          <w:sz w:val="24"/>
        </w:rPr>
        <w:t>merken</w:t>
      </w:r>
      <w:r w:rsidRPr="0051793A">
        <w:rPr>
          <w:rFonts w:ascii="Times New Roman" w:hAnsi="Times New Roman"/>
          <w:sz w:val="24"/>
        </w:rPr>
        <w:t xml:space="preserve"> de initiatiefnemers</w:t>
      </w:r>
      <w:r w:rsidR="00296EA2" w:rsidRPr="0051793A">
        <w:rPr>
          <w:rFonts w:ascii="Times New Roman" w:hAnsi="Times New Roman"/>
          <w:sz w:val="24"/>
        </w:rPr>
        <w:t xml:space="preserve"> op dat dit wetsvoorstel uitgaat van de internationale consensus</w:t>
      </w:r>
      <w:r w:rsidR="00E60763" w:rsidRPr="0051793A">
        <w:rPr>
          <w:rFonts w:ascii="Times New Roman" w:hAnsi="Times New Roman"/>
          <w:sz w:val="24"/>
        </w:rPr>
        <w:t>,</w:t>
      </w:r>
      <w:r w:rsidR="00296EA2" w:rsidRPr="0051793A">
        <w:rPr>
          <w:rFonts w:ascii="Times New Roman" w:hAnsi="Times New Roman"/>
          <w:sz w:val="24"/>
        </w:rPr>
        <w:t xml:space="preserve"> zoals die is neergelegd in de </w:t>
      </w:r>
      <w:r w:rsidR="00296EA2" w:rsidRPr="0051793A">
        <w:rPr>
          <w:rFonts w:ascii="Times New Roman" w:hAnsi="Times New Roman"/>
          <w:i/>
          <w:iCs/>
          <w:sz w:val="24"/>
        </w:rPr>
        <w:t xml:space="preserve">United Nations Guiding Principles </w:t>
      </w:r>
      <w:r w:rsidR="00296EA2" w:rsidRPr="0051793A">
        <w:rPr>
          <w:rFonts w:ascii="Times New Roman" w:hAnsi="Times New Roman"/>
          <w:sz w:val="24"/>
        </w:rPr>
        <w:t>(UNGP) en de</w:t>
      </w:r>
      <w:r w:rsidR="00296EA2" w:rsidRPr="0051793A">
        <w:rPr>
          <w:rFonts w:ascii="Times New Roman" w:hAnsi="Times New Roman"/>
          <w:i/>
          <w:iCs/>
          <w:sz w:val="24"/>
        </w:rPr>
        <w:t xml:space="preserve"> </w:t>
      </w:r>
      <w:r w:rsidR="00296EA2" w:rsidRPr="0051793A">
        <w:rPr>
          <w:rFonts w:ascii="Times New Roman" w:hAnsi="Times New Roman"/>
          <w:sz w:val="24"/>
        </w:rPr>
        <w:t xml:space="preserve">OESO-richtlijnen. Verder gelden de afspraken van internationale mensenrechtenverdragen en de afspraken binnen de </w:t>
      </w:r>
      <w:r w:rsidR="00296EA2" w:rsidRPr="0051793A">
        <w:rPr>
          <w:rFonts w:ascii="Times New Roman" w:hAnsi="Times New Roman"/>
          <w:i/>
          <w:iCs/>
          <w:sz w:val="24"/>
        </w:rPr>
        <w:t>International Labour Organisation</w:t>
      </w:r>
      <w:r w:rsidR="00296EA2" w:rsidRPr="0051793A">
        <w:rPr>
          <w:rFonts w:ascii="Times New Roman" w:hAnsi="Times New Roman"/>
          <w:sz w:val="24"/>
        </w:rPr>
        <w:t xml:space="preserve"> (ILO). </w:t>
      </w:r>
    </w:p>
    <w:p w14:paraId="0E5864A3" w14:textId="77777777" w:rsidR="0006584F" w:rsidRPr="0051793A" w:rsidRDefault="0006584F" w:rsidP="00091691">
      <w:pPr>
        <w:rPr>
          <w:rFonts w:ascii="Times New Roman" w:hAnsi="Times New Roman"/>
          <w:sz w:val="24"/>
        </w:rPr>
      </w:pPr>
    </w:p>
    <w:p w14:paraId="2D01B457" w14:textId="46C3D58A" w:rsidR="004A5C73" w:rsidRPr="0051793A" w:rsidRDefault="0006584F" w:rsidP="00091691">
      <w:pPr>
        <w:rPr>
          <w:rFonts w:ascii="Times New Roman" w:hAnsi="Times New Roman"/>
          <w:sz w:val="24"/>
        </w:rPr>
      </w:pPr>
      <w:r w:rsidRPr="0051793A">
        <w:rPr>
          <w:rFonts w:ascii="Times New Roman" w:hAnsi="Times New Roman"/>
          <w:sz w:val="24"/>
        </w:rPr>
        <w:t xml:space="preserve">Wat de complexiteit van de </w:t>
      </w:r>
      <w:r w:rsidR="00C042D0" w:rsidRPr="0051793A">
        <w:rPr>
          <w:rFonts w:ascii="Times New Roman" w:hAnsi="Times New Roman"/>
          <w:sz w:val="24"/>
        </w:rPr>
        <w:t xml:space="preserve">waardeketens </w:t>
      </w:r>
      <w:r w:rsidRPr="0051793A">
        <w:rPr>
          <w:rFonts w:ascii="Times New Roman" w:hAnsi="Times New Roman"/>
          <w:sz w:val="24"/>
        </w:rPr>
        <w:t xml:space="preserve">betreft gaan de initiatiefnemers ervan uit dat </w:t>
      </w:r>
      <w:r w:rsidR="00E60763" w:rsidRPr="0051793A">
        <w:rPr>
          <w:rFonts w:ascii="Times New Roman" w:hAnsi="Times New Roman"/>
          <w:sz w:val="24"/>
        </w:rPr>
        <w:t xml:space="preserve">- </w:t>
      </w:r>
      <w:r w:rsidRPr="0051793A">
        <w:rPr>
          <w:rFonts w:ascii="Times New Roman" w:hAnsi="Times New Roman"/>
          <w:sz w:val="24"/>
        </w:rPr>
        <w:t>ook los van de verplichtingen voor gepaste zorgvuldigheid</w:t>
      </w:r>
      <w:r w:rsidR="00E60763" w:rsidRPr="0051793A">
        <w:rPr>
          <w:rFonts w:ascii="Times New Roman" w:hAnsi="Times New Roman"/>
          <w:sz w:val="24"/>
        </w:rPr>
        <w:t xml:space="preserve"> -</w:t>
      </w:r>
      <w:r w:rsidRPr="0051793A">
        <w:rPr>
          <w:rFonts w:ascii="Times New Roman" w:hAnsi="Times New Roman"/>
          <w:sz w:val="24"/>
        </w:rPr>
        <w:t xml:space="preserve"> van </w:t>
      </w:r>
      <w:r w:rsidR="00E60763" w:rsidRPr="0051793A">
        <w:rPr>
          <w:rFonts w:ascii="Times New Roman" w:hAnsi="Times New Roman"/>
          <w:sz w:val="24"/>
        </w:rPr>
        <w:t xml:space="preserve">een </w:t>
      </w:r>
      <w:r w:rsidRPr="0051793A">
        <w:rPr>
          <w:rFonts w:ascii="Times New Roman" w:hAnsi="Times New Roman"/>
          <w:sz w:val="24"/>
        </w:rPr>
        <w:t>onderneming mag worden verwacht</w:t>
      </w:r>
      <w:r w:rsidR="001F0DAA" w:rsidRPr="0051793A">
        <w:rPr>
          <w:rFonts w:ascii="Times New Roman" w:hAnsi="Times New Roman"/>
          <w:sz w:val="24"/>
        </w:rPr>
        <w:t xml:space="preserve"> dat zij zicht heeft op haar </w:t>
      </w:r>
      <w:r w:rsidR="00C042D0" w:rsidRPr="0051793A">
        <w:rPr>
          <w:rFonts w:ascii="Times New Roman" w:hAnsi="Times New Roman"/>
          <w:sz w:val="24"/>
        </w:rPr>
        <w:t>waardeketen</w:t>
      </w:r>
      <w:r w:rsidR="001F0DAA" w:rsidRPr="0051793A">
        <w:rPr>
          <w:rFonts w:ascii="Times New Roman" w:hAnsi="Times New Roman"/>
          <w:sz w:val="24"/>
        </w:rPr>
        <w:t xml:space="preserve">. Dit is een belangrijk uitgangspunt, juist </w:t>
      </w:r>
      <w:r w:rsidR="001F0DAA" w:rsidRPr="0051793A">
        <w:rPr>
          <w:rFonts w:ascii="Times New Roman" w:hAnsi="Times New Roman"/>
          <w:sz w:val="24"/>
        </w:rPr>
        <w:lastRenderedPageBreak/>
        <w:t xml:space="preserve">omdat </w:t>
      </w:r>
      <w:r w:rsidR="00CB44EB" w:rsidRPr="0051793A">
        <w:rPr>
          <w:rFonts w:ascii="Times New Roman" w:hAnsi="Times New Roman"/>
          <w:sz w:val="24"/>
        </w:rPr>
        <w:t>de bedoeling van dit wetsvoorstel is te voorkomen dat</w:t>
      </w:r>
      <w:r w:rsidR="001F0DAA" w:rsidRPr="0051793A">
        <w:rPr>
          <w:rFonts w:ascii="Times New Roman" w:hAnsi="Times New Roman"/>
          <w:sz w:val="24"/>
        </w:rPr>
        <w:t xml:space="preserve"> </w:t>
      </w:r>
      <w:r w:rsidR="00C042D0" w:rsidRPr="0051793A">
        <w:rPr>
          <w:rFonts w:ascii="Times New Roman" w:hAnsi="Times New Roman"/>
          <w:sz w:val="24"/>
        </w:rPr>
        <w:t xml:space="preserve">die </w:t>
      </w:r>
      <w:r w:rsidR="001F0DAA" w:rsidRPr="0051793A">
        <w:rPr>
          <w:rFonts w:ascii="Times New Roman" w:hAnsi="Times New Roman"/>
          <w:sz w:val="24"/>
        </w:rPr>
        <w:t xml:space="preserve">risico’s afgewenteld worden op </w:t>
      </w:r>
      <w:r w:rsidR="002366BA" w:rsidRPr="0051793A">
        <w:rPr>
          <w:rFonts w:ascii="Times New Roman" w:hAnsi="Times New Roman"/>
          <w:sz w:val="24"/>
        </w:rPr>
        <w:t xml:space="preserve">arbeiders, </w:t>
      </w:r>
      <w:r w:rsidR="00C042D0" w:rsidRPr="0051793A">
        <w:rPr>
          <w:rFonts w:ascii="Times New Roman" w:hAnsi="Times New Roman"/>
          <w:sz w:val="24"/>
        </w:rPr>
        <w:t xml:space="preserve">gemeenschappen of het </w:t>
      </w:r>
      <w:r w:rsidR="002366BA" w:rsidRPr="0051793A">
        <w:rPr>
          <w:rFonts w:ascii="Times New Roman" w:hAnsi="Times New Roman"/>
          <w:sz w:val="24"/>
        </w:rPr>
        <w:t>milieu in het buitenland.</w:t>
      </w:r>
      <w:r w:rsidR="002366BA" w:rsidRPr="0051793A">
        <w:rPr>
          <w:rStyle w:val="Voetnootmarkering"/>
          <w:rFonts w:ascii="Times New Roman" w:hAnsi="Times New Roman"/>
          <w:sz w:val="24"/>
        </w:rPr>
        <w:footnoteReference w:id="2"/>
      </w:r>
      <w:r w:rsidR="00296EA2" w:rsidRPr="0051793A">
        <w:rPr>
          <w:rFonts w:ascii="Times New Roman" w:hAnsi="Times New Roman"/>
          <w:sz w:val="24"/>
        </w:rPr>
        <w:t xml:space="preserve"> </w:t>
      </w:r>
    </w:p>
    <w:p w14:paraId="2E8BBC6F" w14:textId="77777777" w:rsidR="004A5C73" w:rsidRPr="0051793A" w:rsidRDefault="004A5C73" w:rsidP="00091691">
      <w:pPr>
        <w:rPr>
          <w:rFonts w:ascii="Times New Roman" w:hAnsi="Times New Roman"/>
          <w:sz w:val="24"/>
        </w:rPr>
      </w:pPr>
    </w:p>
    <w:p w14:paraId="00410F03" w14:textId="77777777" w:rsidR="00E60763" w:rsidRPr="0051793A" w:rsidRDefault="004A5C73" w:rsidP="00091691">
      <w:pPr>
        <w:rPr>
          <w:rFonts w:ascii="Times New Roman" w:hAnsi="Times New Roman"/>
          <w:sz w:val="24"/>
        </w:rPr>
      </w:pPr>
      <w:r w:rsidRPr="0051793A">
        <w:rPr>
          <w:rFonts w:ascii="Times New Roman" w:hAnsi="Times New Roman"/>
          <w:sz w:val="24"/>
        </w:rPr>
        <w:t xml:space="preserve">Er wordt niet van </w:t>
      </w:r>
      <w:r w:rsidR="001F22A2" w:rsidRPr="0051793A">
        <w:rPr>
          <w:rFonts w:ascii="Times New Roman" w:hAnsi="Times New Roman"/>
          <w:sz w:val="24"/>
        </w:rPr>
        <w:t>ondernemingen</w:t>
      </w:r>
      <w:r w:rsidR="00CB44EB" w:rsidRPr="0051793A">
        <w:rPr>
          <w:rFonts w:ascii="Times New Roman" w:hAnsi="Times New Roman"/>
          <w:sz w:val="24"/>
        </w:rPr>
        <w:t xml:space="preserve"> verwacht </w:t>
      </w:r>
      <w:r w:rsidRPr="0051793A">
        <w:rPr>
          <w:rFonts w:ascii="Times New Roman" w:hAnsi="Times New Roman"/>
          <w:sz w:val="24"/>
        </w:rPr>
        <w:t xml:space="preserve">dat zij meer doen dan datgene waar hun slagkracht </w:t>
      </w:r>
      <w:r w:rsidR="003C4743" w:rsidRPr="0051793A">
        <w:rPr>
          <w:rFonts w:ascii="Times New Roman" w:hAnsi="Times New Roman"/>
          <w:sz w:val="24"/>
        </w:rPr>
        <w:t>hen toe in staat stelt</w:t>
      </w:r>
      <w:r w:rsidRPr="0051793A">
        <w:rPr>
          <w:rFonts w:ascii="Times New Roman" w:hAnsi="Times New Roman"/>
          <w:sz w:val="24"/>
        </w:rPr>
        <w:t>.</w:t>
      </w:r>
      <w:r w:rsidR="00CB44EB" w:rsidRPr="0051793A">
        <w:rPr>
          <w:rFonts w:ascii="Times New Roman" w:hAnsi="Times New Roman"/>
          <w:sz w:val="24"/>
        </w:rPr>
        <w:t xml:space="preserve"> </w:t>
      </w:r>
      <w:r w:rsidR="00464AD3" w:rsidRPr="0051793A">
        <w:rPr>
          <w:rFonts w:ascii="Times New Roman" w:hAnsi="Times New Roman"/>
          <w:sz w:val="24"/>
        </w:rPr>
        <w:t xml:space="preserve">Mede naar aanleiding van deze opmerkingen van de </w:t>
      </w:r>
      <w:r w:rsidR="007E5852" w:rsidRPr="0051793A">
        <w:rPr>
          <w:rFonts w:ascii="Times New Roman" w:hAnsi="Times New Roman"/>
          <w:sz w:val="24"/>
        </w:rPr>
        <w:t>Afdeling</w:t>
      </w:r>
      <w:r w:rsidR="00464AD3" w:rsidRPr="0051793A">
        <w:rPr>
          <w:rFonts w:ascii="Times New Roman" w:hAnsi="Times New Roman"/>
          <w:sz w:val="24"/>
        </w:rPr>
        <w:t xml:space="preserve"> </w:t>
      </w:r>
      <w:r w:rsidR="00C042D0" w:rsidRPr="0051793A">
        <w:rPr>
          <w:rFonts w:ascii="Times New Roman" w:hAnsi="Times New Roman"/>
          <w:sz w:val="24"/>
        </w:rPr>
        <w:t xml:space="preserve">advisering </w:t>
      </w:r>
      <w:r w:rsidR="00464AD3" w:rsidRPr="0051793A">
        <w:rPr>
          <w:rFonts w:ascii="Times New Roman" w:hAnsi="Times New Roman"/>
          <w:sz w:val="24"/>
        </w:rPr>
        <w:t xml:space="preserve">is </w:t>
      </w:r>
      <w:r w:rsidR="003843E4" w:rsidRPr="0051793A">
        <w:rPr>
          <w:rFonts w:ascii="Times New Roman" w:hAnsi="Times New Roman"/>
          <w:sz w:val="24"/>
        </w:rPr>
        <w:t xml:space="preserve">in </w:t>
      </w:r>
      <w:r w:rsidR="00464AD3" w:rsidRPr="0051793A">
        <w:rPr>
          <w:rFonts w:ascii="Times New Roman" w:hAnsi="Times New Roman"/>
          <w:sz w:val="24"/>
        </w:rPr>
        <w:t xml:space="preserve">de teksten van het wetsvoorstel nader uitgewerkt wat van </w:t>
      </w:r>
      <w:r w:rsidR="001F22A2" w:rsidRPr="0051793A">
        <w:rPr>
          <w:rFonts w:ascii="Times New Roman" w:hAnsi="Times New Roman"/>
          <w:sz w:val="24"/>
        </w:rPr>
        <w:t>ondernemingen</w:t>
      </w:r>
      <w:r w:rsidR="00464AD3" w:rsidRPr="0051793A">
        <w:rPr>
          <w:rFonts w:ascii="Times New Roman" w:hAnsi="Times New Roman"/>
          <w:sz w:val="24"/>
        </w:rPr>
        <w:t xml:space="preserve"> verwacht wordt</w:t>
      </w:r>
      <w:r w:rsidR="00500FF8" w:rsidRPr="0051793A">
        <w:rPr>
          <w:rFonts w:ascii="Times New Roman" w:hAnsi="Times New Roman"/>
          <w:sz w:val="24"/>
        </w:rPr>
        <w:t xml:space="preserve"> en met welke belangen of aandachtspunten daarbij rekening gehouden dient te worden</w:t>
      </w:r>
      <w:r w:rsidR="00464AD3" w:rsidRPr="0051793A">
        <w:rPr>
          <w:rFonts w:ascii="Times New Roman" w:hAnsi="Times New Roman"/>
          <w:sz w:val="24"/>
        </w:rPr>
        <w:t xml:space="preserve">. </w:t>
      </w:r>
      <w:r w:rsidR="00C042D0" w:rsidRPr="0051793A">
        <w:rPr>
          <w:rFonts w:ascii="Times New Roman" w:hAnsi="Times New Roman"/>
          <w:sz w:val="24"/>
        </w:rPr>
        <w:t xml:space="preserve">In die bepalingen is ook rekening gehouden met proportionaliteit van de te nemen maatregelen. </w:t>
      </w:r>
    </w:p>
    <w:p w14:paraId="2B95B1A9" w14:textId="5ABAB9EF" w:rsidR="00464AD3" w:rsidRPr="0051793A" w:rsidRDefault="004A5C73" w:rsidP="00091691">
      <w:pPr>
        <w:rPr>
          <w:rFonts w:ascii="Times New Roman" w:hAnsi="Times New Roman"/>
          <w:sz w:val="24"/>
        </w:rPr>
      </w:pPr>
      <w:r w:rsidRPr="0051793A">
        <w:rPr>
          <w:rFonts w:ascii="Times New Roman" w:hAnsi="Times New Roman"/>
          <w:sz w:val="24"/>
        </w:rPr>
        <w:t xml:space="preserve">Het wetsvoorstel houdt </w:t>
      </w:r>
      <w:r w:rsidR="00E60763" w:rsidRPr="0051793A">
        <w:rPr>
          <w:rFonts w:ascii="Times New Roman" w:hAnsi="Times New Roman"/>
          <w:sz w:val="24"/>
        </w:rPr>
        <w:t>bovendien</w:t>
      </w:r>
      <w:r w:rsidR="00C042D0" w:rsidRPr="0051793A">
        <w:rPr>
          <w:rFonts w:ascii="Times New Roman" w:hAnsi="Times New Roman"/>
          <w:sz w:val="24"/>
        </w:rPr>
        <w:t xml:space="preserve"> </w:t>
      </w:r>
      <w:r w:rsidRPr="0051793A">
        <w:rPr>
          <w:rFonts w:ascii="Times New Roman" w:hAnsi="Times New Roman"/>
          <w:sz w:val="24"/>
        </w:rPr>
        <w:t xml:space="preserve">rekening met de uiteenlopende vormen </w:t>
      </w:r>
      <w:r w:rsidR="00C042D0" w:rsidRPr="0051793A">
        <w:rPr>
          <w:rFonts w:ascii="Times New Roman" w:hAnsi="Times New Roman"/>
          <w:sz w:val="24"/>
        </w:rPr>
        <w:t xml:space="preserve">van betrokkenheid van een onderneming </w:t>
      </w:r>
      <w:r w:rsidRPr="0051793A">
        <w:rPr>
          <w:rFonts w:ascii="Times New Roman" w:hAnsi="Times New Roman"/>
          <w:sz w:val="24"/>
        </w:rPr>
        <w:t>en</w:t>
      </w:r>
      <w:r w:rsidR="00C042D0" w:rsidRPr="0051793A">
        <w:rPr>
          <w:rFonts w:ascii="Times New Roman" w:hAnsi="Times New Roman"/>
          <w:sz w:val="24"/>
        </w:rPr>
        <w:t xml:space="preserve"> de verschillende wijzen voor beïnvloeding </w:t>
      </w:r>
      <w:r w:rsidRPr="0051793A">
        <w:rPr>
          <w:rFonts w:ascii="Times New Roman" w:hAnsi="Times New Roman"/>
          <w:sz w:val="24"/>
        </w:rPr>
        <w:t xml:space="preserve">die een </w:t>
      </w:r>
      <w:r w:rsidR="00C06636" w:rsidRPr="0051793A">
        <w:rPr>
          <w:rFonts w:ascii="Times New Roman" w:hAnsi="Times New Roman"/>
          <w:sz w:val="24"/>
        </w:rPr>
        <w:t>onderneming</w:t>
      </w:r>
      <w:r w:rsidRPr="0051793A">
        <w:rPr>
          <w:rFonts w:ascii="Times New Roman" w:hAnsi="Times New Roman"/>
          <w:sz w:val="24"/>
        </w:rPr>
        <w:t xml:space="preserve"> kan</w:t>
      </w:r>
      <w:r w:rsidR="00C042D0" w:rsidRPr="0051793A">
        <w:rPr>
          <w:rFonts w:ascii="Times New Roman" w:hAnsi="Times New Roman"/>
          <w:sz w:val="24"/>
        </w:rPr>
        <w:t xml:space="preserve"> hanteren bij </w:t>
      </w:r>
      <w:r w:rsidRPr="0051793A">
        <w:rPr>
          <w:rFonts w:ascii="Times New Roman" w:hAnsi="Times New Roman"/>
          <w:sz w:val="24"/>
        </w:rPr>
        <w:t xml:space="preserve">het voorkomen en beperken van misstanden in de </w:t>
      </w:r>
      <w:r w:rsidR="00E60763" w:rsidRPr="0051793A">
        <w:rPr>
          <w:rFonts w:ascii="Times New Roman" w:hAnsi="Times New Roman"/>
          <w:sz w:val="24"/>
        </w:rPr>
        <w:t>waardeketen</w:t>
      </w:r>
      <w:r w:rsidRPr="0051793A">
        <w:rPr>
          <w:rFonts w:ascii="Times New Roman" w:hAnsi="Times New Roman"/>
          <w:sz w:val="24"/>
        </w:rPr>
        <w:t xml:space="preserve">. Artikel 2.7.2, derde lid, maakt, in lijn met de OESO-richtlijnen, een onderscheid tussen het veroorzaken, bijdragen aan en direct verbonden zijn aan misstanden in de keten. Afhankelijk van de relatie tussen </w:t>
      </w:r>
      <w:r w:rsidR="00C06636" w:rsidRPr="0051793A">
        <w:rPr>
          <w:rFonts w:ascii="Times New Roman" w:hAnsi="Times New Roman"/>
          <w:sz w:val="24"/>
        </w:rPr>
        <w:t>de onderneming</w:t>
      </w:r>
      <w:r w:rsidRPr="0051793A">
        <w:rPr>
          <w:rFonts w:ascii="Times New Roman" w:hAnsi="Times New Roman"/>
          <w:sz w:val="24"/>
        </w:rPr>
        <w:t xml:space="preserve"> en de misstand wordt van </w:t>
      </w:r>
      <w:r w:rsidR="00C06636" w:rsidRPr="0051793A">
        <w:rPr>
          <w:rFonts w:ascii="Times New Roman" w:hAnsi="Times New Roman"/>
          <w:sz w:val="24"/>
        </w:rPr>
        <w:t>de</w:t>
      </w:r>
      <w:r w:rsidRPr="0051793A">
        <w:rPr>
          <w:rFonts w:ascii="Times New Roman" w:hAnsi="Times New Roman"/>
          <w:sz w:val="24"/>
        </w:rPr>
        <w:t xml:space="preserve"> betreffende </w:t>
      </w:r>
      <w:r w:rsidR="00C06636" w:rsidRPr="0051793A">
        <w:rPr>
          <w:rFonts w:ascii="Times New Roman" w:hAnsi="Times New Roman"/>
          <w:sz w:val="24"/>
        </w:rPr>
        <w:t>onderneming</w:t>
      </w:r>
      <w:r w:rsidRPr="0051793A">
        <w:rPr>
          <w:rFonts w:ascii="Times New Roman" w:hAnsi="Times New Roman"/>
          <w:sz w:val="24"/>
        </w:rPr>
        <w:t xml:space="preserve"> passende</w:t>
      </w:r>
      <w:r w:rsidR="009A2A08" w:rsidRPr="0051793A">
        <w:rPr>
          <w:rFonts w:ascii="Times New Roman" w:hAnsi="Times New Roman"/>
          <w:sz w:val="24"/>
        </w:rPr>
        <w:t xml:space="preserve"> maatregelen </w:t>
      </w:r>
      <w:r w:rsidRPr="0051793A">
        <w:rPr>
          <w:rFonts w:ascii="Times New Roman" w:hAnsi="Times New Roman"/>
          <w:sz w:val="24"/>
        </w:rPr>
        <w:t xml:space="preserve">verwacht. Veroorzaken de activiteiten van een </w:t>
      </w:r>
      <w:r w:rsidR="00C06636" w:rsidRPr="0051793A">
        <w:rPr>
          <w:rFonts w:ascii="Times New Roman" w:hAnsi="Times New Roman"/>
          <w:sz w:val="24"/>
        </w:rPr>
        <w:t>onderneming</w:t>
      </w:r>
      <w:r w:rsidRPr="0051793A">
        <w:rPr>
          <w:rFonts w:ascii="Times New Roman" w:hAnsi="Times New Roman"/>
          <w:sz w:val="24"/>
        </w:rPr>
        <w:t xml:space="preserve"> directe schade aan mens of milieu, dan dient </w:t>
      </w:r>
      <w:r w:rsidR="00C06636" w:rsidRPr="0051793A">
        <w:rPr>
          <w:rFonts w:ascii="Times New Roman" w:hAnsi="Times New Roman"/>
          <w:sz w:val="24"/>
        </w:rPr>
        <w:t>de</w:t>
      </w:r>
      <w:r w:rsidRPr="0051793A">
        <w:rPr>
          <w:rFonts w:ascii="Times New Roman" w:hAnsi="Times New Roman"/>
          <w:sz w:val="24"/>
        </w:rPr>
        <w:t xml:space="preserve"> </w:t>
      </w:r>
      <w:r w:rsidR="00C06636" w:rsidRPr="0051793A">
        <w:rPr>
          <w:rFonts w:ascii="Times New Roman" w:hAnsi="Times New Roman"/>
          <w:sz w:val="24"/>
        </w:rPr>
        <w:t>onderneming</w:t>
      </w:r>
      <w:r w:rsidRPr="0051793A">
        <w:rPr>
          <w:rFonts w:ascii="Times New Roman" w:hAnsi="Times New Roman"/>
          <w:sz w:val="24"/>
        </w:rPr>
        <w:t xml:space="preserve"> deze activiteiten zo snel mogelijk te beëindigen. Is een </w:t>
      </w:r>
      <w:r w:rsidR="00C06636" w:rsidRPr="0051793A">
        <w:rPr>
          <w:rFonts w:ascii="Times New Roman" w:hAnsi="Times New Roman"/>
          <w:sz w:val="24"/>
        </w:rPr>
        <w:t>onderneming</w:t>
      </w:r>
      <w:r w:rsidRPr="0051793A">
        <w:rPr>
          <w:rFonts w:ascii="Times New Roman" w:hAnsi="Times New Roman"/>
          <w:sz w:val="24"/>
        </w:rPr>
        <w:t xml:space="preserve"> via de keten direct verbonden aan een misstand, dan dient het </w:t>
      </w:r>
      <w:r w:rsidR="00E60763" w:rsidRPr="0051793A">
        <w:rPr>
          <w:rFonts w:ascii="Times New Roman" w:hAnsi="Times New Roman"/>
          <w:sz w:val="24"/>
        </w:rPr>
        <w:t xml:space="preserve">haar </w:t>
      </w:r>
      <w:r w:rsidRPr="0051793A">
        <w:rPr>
          <w:rFonts w:ascii="Times New Roman" w:hAnsi="Times New Roman"/>
          <w:sz w:val="24"/>
        </w:rPr>
        <w:t>invloed aan te wenden richting de zakenrelatie teneinde de misstand te stoppen.</w:t>
      </w:r>
      <w:r w:rsidR="003843E4" w:rsidRPr="0051793A">
        <w:rPr>
          <w:rFonts w:ascii="Times New Roman" w:hAnsi="Times New Roman"/>
          <w:sz w:val="24"/>
        </w:rPr>
        <w:t xml:space="preserve"> </w:t>
      </w:r>
      <w:r w:rsidR="00464AD3" w:rsidRPr="0051793A">
        <w:rPr>
          <w:rFonts w:ascii="Times New Roman" w:hAnsi="Times New Roman"/>
          <w:sz w:val="24"/>
        </w:rPr>
        <w:t xml:space="preserve">In de artikelen </w:t>
      </w:r>
      <w:r w:rsidR="003843E4" w:rsidRPr="0051793A">
        <w:rPr>
          <w:rFonts w:ascii="Times New Roman" w:hAnsi="Times New Roman"/>
          <w:sz w:val="24"/>
        </w:rPr>
        <w:t xml:space="preserve">2.4.2 en 2.4.3 worden </w:t>
      </w:r>
      <w:r w:rsidR="009A2A08" w:rsidRPr="0051793A">
        <w:rPr>
          <w:rFonts w:ascii="Times New Roman" w:hAnsi="Times New Roman"/>
          <w:sz w:val="24"/>
        </w:rPr>
        <w:t xml:space="preserve">ook </w:t>
      </w:r>
      <w:r w:rsidR="003843E4" w:rsidRPr="0051793A">
        <w:rPr>
          <w:rFonts w:ascii="Times New Roman" w:hAnsi="Times New Roman"/>
          <w:sz w:val="24"/>
        </w:rPr>
        <w:t>een aantal belangen of aandachtspunten</w:t>
      </w:r>
      <w:r w:rsidR="00500FF8" w:rsidRPr="0051793A">
        <w:rPr>
          <w:rFonts w:ascii="Times New Roman" w:hAnsi="Times New Roman"/>
          <w:sz w:val="24"/>
        </w:rPr>
        <w:t xml:space="preserve"> opgesomd waarmee ondernemingen rekening dienen te houden bij een eventueel besluit om een eigen activiteit of een relatie met een zakenpartner te beëindigen. De afweging hiervan kan er in sommige gevallen ook toe leiden dat een activiteit of zakenrelatie niet of niet meteen beëindigd wordt. </w:t>
      </w:r>
    </w:p>
    <w:p w14:paraId="5DFC5015" w14:textId="3399202E" w:rsidR="00CB7570" w:rsidRPr="0051793A" w:rsidRDefault="00CB7570" w:rsidP="00091691">
      <w:pPr>
        <w:rPr>
          <w:rFonts w:ascii="Times New Roman" w:hAnsi="Times New Roman"/>
          <w:sz w:val="24"/>
        </w:rPr>
      </w:pPr>
    </w:p>
    <w:p w14:paraId="5BB87928" w14:textId="33D2B964" w:rsidR="00691C2C" w:rsidRPr="0051793A" w:rsidRDefault="00CB7570" w:rsidP="00091691">
      <w:pPr>
        <w:rPr>
          <w:rFonts w:ascii="Times New Roman" w:hAnsi="Times New Roman"/>
          <w:sz w:val="24"/>
        </w:rPr>
      </w:pPr>
      <w:r w:rsidRPr="0051793A">
        <w:rPr>
          <w:rFonts w:ascii="Times New Roman" w:hAnsi="Times New Roman"/>
          <w:sz w:val="24"/>
        </w:rPr>
        <w:t xml:space="preserve">Overigens wijzen de initiatiefnemers erop dat juist wetgeving kan bijdragen aan het vergroten van de invloed van </w:t>
      </w:r>
      <w:r w:rsidR="00C06636" w:rsidRPr="0051793A">
        <w:rPr>
          <w:rFonts w:ascii="Times New Roman" w:hAnsi="Times New Roman"/>
          <w:sz w:val="24"/>
        </w:rPr>
        <w:t>ondernemingen</w:t>
      </w:r>
      <w:r w:rsidRPr="0051793A">
        <w:rPr>
          <w:rFonts w:ascii="Times New Roman" w:hAnsi="Times New Roman"/>
          <w:sz w:val="24"/>
        </w:rPr>
        <w:t xml:space="preserve"> op ketenpartners. Dankzij een wettelijke verplichting tot verantwoord ondernemen wordt naleving van de OESO-richtlijnen, ook door ketenpartners, een niet-onderhandelbare norm, in tegenstelling tot de huidige situatie op basis van vrijwilligheid. Dit wordt ook bevestigd door de studie van het </w:t>
      </w:r>
      <w:r w:rsidRPr="0051793A">
        <w:rPr>
          <w:rFonts w:ascii="Times New Roman" w:hAnsi="Times New Roman"/>
          <w:i/>
          <w:iCs/>
          <w:sz w:val="24"/>
        </w:rPr>
        <w:t>British Institute for International and Comparative Law</w:t>
      </w:r>
      <w:r w:rsidRPr="0051793A">
        <w:rPr>
          <w:rFonts w:ascii="Times New Roman" w:hAnsi="Times New Roman"/>
          <w:sz w:val="24"/>
        </w:rPr>
        <w:t xml:space="preserve"> (BIICL) naar verschillende wetgevingsopties voor verantwoord ondernemen in opdracht van de Europese Commissie.</w:t>
      </w:r>
      <w:r w:rsidRPr="0051793A">
        <w:rPr>
          <w:rStyle w:val="Voetnootmarkering"/>
          <w:rFonts w:ascii="Times New Roman" w:hAnsi="Times New Roman"/>
          <w:sz w:val="24"/>
        </w:rPr>
        <w:footnoteReference w:id="3"/>
      </w:r>
    </w:p>
    <w:p w14:paraId="3C995FDE" w14:textId="77777777" w:rsidR="00691C2C" w:rsidRPr="0051793A" w:rsidRDefault="00691C2C" w:rsidP="00091691">
      <w:pPr>
        <w:rPr>
          <w:rFonts w:ascii="Times New Roman" w:hAnsi="Times New Roman"/>
          <w:sz w:val="24"/>
        </w:rPr>
      </w:pPr>
    </w:p>
    <w:p w14:paraId="26634FF0" w14:textId="086441ED" w:rsidR="005D2B50" w:rsidRPr="0051793A" w:rsidRDefault="00DB4E76" w:rsidP="000D29B3">
      <w:pPr>
        <w:rPr>
          <w:rFonts w:ascii="Times New Roman" w:hAnsi="Times New Roman"/>
          <w:sz w:val="24"/>
        </w:rPr>
      </w:pPr>
      <w:r w:rsidRPr="0051793A">
        <w:rPr>
          <w:rFonts w:ascii="Times New Roman" w:hAnsi="Times New Roman"/>
          <w:sz w:val="24"/>
        </w:rPr>
        <w:t>Tot slot</w:t>
      </w:r>
      <w:r w:rsidR="00691C2C" w:rsidRPr="0051793A">
        <w:rPr>
          <w:rFonts w:ascii="Times New Roman" w:hAnsi="Times New Roman"/>
          <w:sz w:val="24"/>
        </w:rPr>
        <w:t xml:space="preserve"> </w:t>
      </w:r>
      <w:r w:rsidR="00DC1751" w:rsidRPr="0051793A">
        <w:rPr>
          <w:rFonts w:ascii="Times New Roman" w:hAnsi="Times New Roman"/>
          <w:sz w:val="24"/>
        </w:rPr>
        <w:t>benadrukken</w:t>
      </w:r>
      <w:r w:rsidR="00691C2C" w:rsidRPr="0051793A">
        <w:rPr>
          <w:rFonts w:ascii="Times New Roman" w:hAnsi="Times New Roman"/>
          <w:sz w:val="24"/>
        </w:rPr>
        <w:t xml:space="preserve"> de initiatiefnemers</w:t>
      </w:r>
      <w:r w:rsidRPr="0051793A">
        <w:rPr>
          <w:rFonts w:ascii="Times New Roman" w:hAnsi="Times New Roman"/>
          <w:sz w:val="24"/>
        </w:rPr>
        <w:t>, wat de proportionaliteit betreft,</w:t>
      </w:r>
      <w:r w:rsidR="00691C2C" w:rsidRPr="0051793A">
        <w:rPr>
          <w:rFonts w:ascii="Times New Roman" w:hAnsi="Times New Roman"/>
          <w:sz w:val="24"/>
        </w:rPr>
        <w:t xml:space="preserve"> dat de </w:t>
      </w:r>
      <w:r w:rsidR="00A14F5F" w:rsidRPr="0051793A">
        <w:rPr>
          <w:rFonts w:ascii="Times New Roman" w:hAnsi="Times New Roman"/>
          <w:sz w:val="24"/>
        </w:rPr>
        <w:t xml:space="preserve">voorschriften </w:t>
      </w:r>
      <w:r w:rsidR="00691C2C" w:rsidRPr="0051793A">
        <w:rPr>
          <w:rFonts w:ascii="Times New Roman" w:hAnsi="Times New Roman"/>
          <w:sz w:val="24"/>
        </w:rPr>
        <w:t xml:space="preserve">uit hoofdstuk 2 uitsluitend van toepassing zijn op grote </w:t>
      </w:r>
      <w:r w:rsidR="00C06636" w:rsidRPr="0051793A">
        <w:rPr>
          <w:rFonts w:ascii="Times New Roman" w:hAnsi="Times New Roman"/>
          <w:sz w:val="24"/>
        </w:rPr>
        <w:t>ondernemingen</w:t>
      </w:r>
      <w:r w:rsidR="00DC1751" w:rsidRPr="0051793A">
        <w:rPr>
          <w:rFonts w:ascii="Times New Roman" w:hAnsi="Times New Roman"/>
          <w:sz w:val="24"/>
        </w:rPr>
        <w:t xml:space="preserve"> (de categorie </w:t>
      </w:r>
      <w:r w:rsidR="00C06636" w:rsidRPr="0051793A">
        <w:rPr>
          <w:rFonts w:ascii="Times New Roman" w:hAnsi="Times New Roman"/>
          <w:sz w:val="24"/>
        </w:rPr>
        <w:t>ondernemingen</w:t>
      </w:r>
      <w:r w:rsidR="00DC1751" w:rsidRPr="0051793A">
        <w:rPr>
          <w:rFonts w:ascii="Times New Roman" w:hAnsi="Times New Roman"/>
          <w:sz w:val="24"/>
        </w:rPr>
        <w:t xml:space="preserve"> vanaf 250 werknemers</w:t>
      </w:r>
      <w:r w:rsidR="007D0341" w:rsidRPr="0051793A">
        <w:rPr>
          <w:rFonts w:ascii="Times New Roman" w:hAnsi="Times New Roman"/>
          <w:sz w:val="24"/>
        </w:rPr>
        <w:t xml:space="preserve">, dan </w:t>
      </w:r>
      <w:r w:rsidR="009B32F5" w:rsidRPr="0051793A">
        <w:rPr>
          <w:rFonts w:ascii="Times New Roman" w:hAnsi="Times New Roman"/>
          <w:sz w:val="24"/>
        </w:rPr>
        <w:t>wel een netto-omzet van 4</w:t>
      </w:r>
      <w:r w:rsidR="007D0341" w:rsidRPr="0051793A">
        <w:rPr>
          <w:rFonts w:ascii="Times New Roman" w:hAnsi="Times New Roman"/>
          <w:sz w:val="24"/>
        </w:rPr>
        <w:t>0 miljoen euro of een balanstotaal van 20 miljoen euro</w:t>
      </w:r>
      <w:r w:rsidR="00DC1751" w:rsidRPr="0051793A">
        <w:rPr>
          <w:rFonts w:ascii="Times New Roman" w:hAnsi="Times New Roman"/>
          <w:sz w:val="24"/>
        </w:rPr>
        <w:t xml:space="preserve">). Hiermee wordt </w:t>
      </w:r>
      <w:r w:rsidRPr="0051793A">
        <w:rPr>
          <w:rFonts w:ascii="Times New Roman" w:hAnsi="Times New Roman"/>
          <w:sz w:val="24"/>
        </w:rPr>
        <w:t xml:space="preserve">de </w:t>
      </w:r>
      <w:r w:rsidR="00DC1751" w:rsidRPr="0051793A">
        <w:rPr>
          <w:rFonts w:ascii="Times New Roman" w:hAnsi="Times New Roman"/>
          <w:sz w:val="24"/>
        </w:rPr>
        <w:t xml:space="preserve">wettelijke verplichting tot het naleven van de uitgewerkte stappen in het proces van gepaste zorgvuldigheid beperkt tot een groep van </w:t>
      </w:r>
      <w:r w:rsidR="00326474" w:rsidRPr="0051793A">
        <w:rPr>
          <w:rFonts w:ascii="Times New Roman" w:hAnsi="Times New Roman"/>
          <w:sz w:val="24"/>
        </w:rPr>
        <w:t xml:space="preserve">minimaal </w:t>
      </w:r>
      <w:r w:rsidR="00A14F5F" w:rsidRPr="0051793A">
        <w:rPr>
          <w:rFonts w:ascii="Times New Roman" w:hAnsi="Times New Roman"/>
          <w:sz w:val="24"/>
        </w:rPr>
        <w:t xml:space="preserve">2000 </w:t>
      </w:r>
      <w:r w:rsidR="00DC1751" w:rsidRPr="0051793A">
        <w:rPr>
          <w:rFonts w:ascii="Times New Roman" w:hAnsi="Times New Roman"/>
          <w:sz w:val="24"/>
        </w:rPr>
        <w:t xml:space="preserve">Nederlandse </w:t>
      </w:r>
      <w:r w:rsidR="00C06636" w:rsidRPr="0051793A">
        <w:rPr>
          <w:rFonts w:ascii="Times New Roman" w:hAnsi="Times New Roman"/>
          <w:sz w:val="24"/>
        </w:rPr>
        <w:t>ondernemingen</w:t>
      </w:r>
      <w:r w:rsidR="00DC1751" w:rsidRPr="0051793A">
        <w:rPr>
          <w:rFonts w:ascii="Times New Roman" w:hAnsi="Times New Roman"/>
          <w:sz w:val="24"/>
        </w:rPr>
        <w:t>.</w:t>
      </w:r>
      <w:r w:rsidR="00584D22" w:rsidRPr="0051793A">
        <w:rPr>
          <w:rStyle w:val="Voetnootmarkering"/>
          <w:rFonts w:ascii="Times New Roman" w:hAnsi="Times New Roman"/>
          <w:sz w:val="24"/>
        </w:rPr>
        <w:footnoteReference w:id="4"/>
      </w:r>
      <w:r w:rsidR="00CB7570" w:rsidRPr="0051793A">
        <w:rPr>
          <w:rFonts w:ascii="Times New Roman" w:hAnsi="Times New Roman"/>
          <w:sz w:val="24"/>
        </w:rPr>
        <w:t xml:space="preserve"> </w:t>
      </w:r>
      <w:r w:rsidR="00A14F5F" w:rsidRPr="0051793A">
        <w:rPr>
          <w:rFonts w:ascii="Times New Roman" w:hAnsi="Times New Roman"/>
          <w:sz w:val="24"/>
        </w:rPr>
        <w:t xml:space="preserve">Daarnaast </w:t>
      </w:r>
      <w:r w:rsidR="009B32F5" w:rsidRPr="0051793A">
        <w:rPr>
          <w:rFonts w:ascii="Times New Roman" w:hAnsi="Times New Roman"/>
          <w:sz w:val="24"/>
        </w:rPr>
        <w:t xml:space="preserve">is </w:t>
      </w:r>
      <w:r w:rsidR="00A14F5F" w:rsidRPr="0051793A">
        <w:rPr>
          <w:rFonts w:ascii="Times New Roman" w:hAnsi="Times New Roman"/>
          <w:sz w:val="24"/>
        </w:rPr>
        <w:t xml:space="preserve">ook </w:t>
      </w:r>
      <w:r w:rsidR="009B32F5" w:rsidRPr="0051793A">
        <w:rPr>
          <w:rFonts w:ascii="Times New Roman" w:hAnsi="Times New Roman"/>
          <w:sz w:val="24"/>
        </w:rPr>
        <w:t xml:space="preserve">gekozen voor een gefaseerde inwerkingtreding. Dit is opgenomen in </w:t>
      </w:r>
      <w:r w:rsidR="00584D22" w:rsidRPr="0051793A">
        <w:rPr>
          <w:rFonts w:ascii="Times New Roman" w:hAnsi="Times New Roman"/>
          <w:sz w:val="24"/>
        </w:rPr>
        <w:t xml:space="preserve">de </w:t>
      </w:r>
      <w:r w:rsidR="009B32F5" w:rsidRPr="0051793A">
        <w:rPr>
          <w:rFonts w:ascii="Times New Roman" w:hAnsi="Times New Roman"/>
          <w:sz w:val="24"/>
        </w:rPr>
        <w:t>artikel</w:t>
      </w:r>
      <w:r w:rsidR="00584D22" w:rsidRPr="0051793A">
        <w:rPr>
          <w:rFonts w:ascii="Times New Roman" w:hAnsi="Times New Roman"/>
          <w:sz w:val="24"/>
        </w:rPr>
        <w:t>en</w:t>
      </w:r>
      <w:r w:rsidR="009B32F5" w:rsidRPr="0051793A">
        <w:rPr>
          <w:rFonts w:ascii="Times New Roman" w:hAnsi="Times New Roman"/>
          <w:sz w:val="24"/>
        </w:rPr>
        <w:t xml:space="preserve"> 4.4</w:t>
      </w:r>
      <w:r w:rsidR="00584D22" w:rsidRPr="0051793A">
        <w:rPr>
          <w:rFonts w:ascii="Times New Roman" w:hAnsi="Times New Roman"/>
          <w:sz w:val="24"/>
        </w:rPr>
        <w:t xml:space="preserve"> en 4.5</w:t>
      </w:r>
      <w:r w:rsidR="009B32F5" w:rsidRPr="0051793A">
        <w:rPr>
          <w:rFonts w:ascii="Times New Roman" w:hAnsi="Times New Roman"/>
          <w:sz w:val="24"/>
        </w:rPr>
        <w:t xml:space="preserve">. Daarmee krijgen ondernemingen </w:t>
      </w:r>
      <w:r w:rsidR="00A14F5F" w:rsidRPr="0051793A">
        <w:rPr>
          <w:rFonts w:ascii="Times New Roman" w:hAnsi="Times New Roman"/>
          <w:sz w:val="24"/>
        </w:rPr>
        <w:t>ook voldoende invoerings</w:t>
      </w:r>
      <w:r w:rsidR="009B32F5" w:rsidRPr="0051793A">
        <w:rPr>
          <w:rFonts w:ascii="Times New Roman" w:hAnsi="Times New Roman"/>
          <w:sz w:val="24"/>
        </w:rPr>
        <w:t>tijd om</w:t>
      </w:r>
      <w:r w:rsidR="00A14F5F" w:rsidRPr="0051793A">
        <w:rPr>
          <w:rFonts w:ascii="Times New Roman" w:hAnsi="Times New Roman"/>
          <w:sz w:val="24"/>
        </w:rPr>
        <w:t xml:space="preserve"> aan de voorschriften te gaan voldoen</w:t>
      </w:r>
      <w:r w:rsidR="009B32F5" w:rsidRPr="0051793A">
        <w:rPr>
          <w:rFonts w:ascii="Times New Roman" w:hAnsi="Times New Roman"/>
          <w:sz w:val="24"/>
        </w:rPr>
        <w:t xml:space="preserve">. </w:t>
      </w:r>
    </w:p>
    <w:p w14:paraId="1E922F72" w14:textId="77777777" w:rsidR="005D2B50" w:rsidRDefault="005D2B50" w:rsidP="000D29B3">
      <w:pPr>
        <w:rPr>
          <w:rFonts w:ascii="Times New Roman" w:hAnsi="Times New Roman"/>
          <w:color w:val="0070C0"/>
          <w:sz w:val="24"/>
        </w:rPr>
      </w:pPr>
    </w:p>
    <w:p w14:paraId="5D71D811" w14:textId="4AFE7318" w:rsidR="000D29B3" w:rsidRPr="00091691" w:rsidRDefault="000D29B3" w:rsidP="000D29B3">
      <w:pPr>
        <w:rPr>
          <w:rFonts w:ascii="Times New Roman" w:hAnsi="Times New Roman"/>
          <w:i/>
          <w:sz w:val="24"/>
        </w:rPr>
      </w:pPr>
      <w:r w:rsidRPr="00091691">
        <w:rPr>
          <w:rFonts w:ascii="Times New Roman" w:hAnsi="Times New Roman"/>
          <w:i/>
          <w:sz w:val="24"/>
        </w:rPr>
        <w:t>c.</w:t>
      </w:r>
      <w:r w:rsidRPr="00091691">
        <w:rPr>
          <w:rFonts w:ascii="Times New Roman" w:hAnsi="Times New Roman"/>
          <w:i/>
          <w:sz w:val="24"/>
        </w:rPr>
        <w:tab/>
        <w:t xml:space="preserve">Handhaafbaarheid </w:t>
      </w:r>
    </w:p>
    <w:p w14:paraId="737AF072" w14:textId="77777777" w:rsidR="000D29B3" w:rsidRPr="00761225" w:rsidRDefault="000D29B3" w:rsidP="000D29B3">
      <w:pPr>
        <w:rPr>
          <w:rFonts w:ascii="Times New Roman" w:hAnsi="Times New Roman"/>
          <w:i/>
          <w:sz w:val="24"/>
        </w:rPr>
      </w:pPr>
      <w:r w:rsidRPr="00091691">
        <w:rPr>
          <w:rFonts w:ascii="Times New Roman" w:hAnsi="Times New Roman"/>
          <w:i/>
          <w:sz w:val="24"/>
        </w:rPr>
        <w:t xml:space="preserve">Het voorstel voorziet ten aanzien van de gepaste zorgvuldigheidsverplichting in drie verschillende handhavingsmechanismen: civielrechtelijk, bestuursrechtelijk en strafrechtelijk. De bestuursrechtelijke handhaving valt uiteen in het geven van aanwijzingen, de sanctionering van het nalaten van maatregelen om IMVO te bevorderen met een last onder </w:t>
      </w:r>
      <w:r w:rsidRPr="00091691">
        <w:rPr>
          <w:rFonts w:ascii="Times New Roman" w:hAnsi="Times New Roman"/>
          <w:i/>
          <w:sz w:val="24"/>
        </w:rPr>
        <w:lastRenderedPageBreak/>
        <w:t xml:space="preserve">dwangsom, en met een bestuurlijke boete voor het overtreden van rapportageverplichtingen en het nalaten van herstelmaatregelen en de beëindiging van eigen activiteiten. Ten aanzien van het schenden van de verplichting om herstelmaatregelen te nemen en/of de eigen activiteiten in voorkomende gevallen te beëindigen is ook voorzien in strafrechtelijke </w:t>
      </w:r>
      <w:r w:rsidRPr="00761225">
        <w:rPr>
          <w:rFonts w:ascii="Times New Roman" w:hAnsi="Times New Roman"/>
          <w:i/>
          <w:sz w:val="24"/>
        </w:rPr>
        <w:t xml:space="preserve">handhaving, als de onderneming tweemaal in bestuursrechtelijke zin is terechtgewezen. </w:t>
      </w:r>
    </w:p>
    <w:p w14:paraId="4E67314F" w14:textId="77777777" w:rsidR="000D29B3" w:rsidRPr="00761225" w:rsidRDefault="000D29B3" w:rsidP="000D29B3">
      <w:pPr>
        <w:rPr>
          <w:rFonts w:ascii="Times New Roman" w:hAnsi="Times New Roman"/>
          <w:i/>
          <w:sz w:val="24"/>
        </w:rPr>
      </w:pPr>
    </w:p>
    <w:p w14:paraId="67DB931E" w14:textId="77777777" w:rsidR="000D29B3" w:rsidRPr="00761225" w:rsidRDefault="000D29B3" w:rsidP="000D29B3">
      <w:pPr>
        <w:rPr>
          <w:rFonts w:ascii="Times New Roman" w:hAnsi="Times New Roman"/>
          <w:i/>
          <w:sz w:val="24"/>
        </w:rPr>
      </w:pPr>
      <w:bookmarkStart w:id="2" w:name="_Hlk92202205"/>
      <w:r w:rsidRPr="00761225">
        <w:rPr>
          <w:rFonts w:ascii="Times New Roman" w:hAnsi="Times New Roman"/>
          <w:i/>
          <w:sz w:val="24"/>
        </w:rPr>
        <w:t>De eerder genoemde open normstelling gecombineerd met de ruime reikwijdte van het voorstel zorgen voor problemen met de bestuursrechtelijke en strafrechtelijke handhaving. Ook hier strijdt het voorstel met het beginsel van rechtszekerheid in algemene zin, omdat uit het voorgaande blijkt dat een heldere normstelling ontbreekt</w:t>
      </w:r>
      <w:bookmarkEnd w:id="2"/>
      <w:r w:rsidRPr="00761225">
        <w:rPr>
          <w:rFonts w:ascii="Times New Roman" w:hAnsi="Times New Roman"/>
          <w:i/>
          <w:sz w:val="24"/>
        </w:rPr>
        <w:t>.</w:t>
      </w:r>
    </w:p>
    <w:p w14:paraId="6DA7C38E" w14:textId="77777777" w:rsidR="000D29B3" w:rsidRPr="00761225" w:rsidRDefault="000D29B3" w:rsidP="000D29B3">
      <w:pPr>
        <w:rPr>
          <w:rFonts w:ascii="Times New Roman" w:hAnsi="Times New Roman"/>
          <w:i/>
          <w:sz w:val="24"/>
        </w:rPr>
      </w:pPr>
    </w:p>
    <w:p w14:paraId="580620BC" w14:textId="77777777" w:rsidR="000D29B3" w:rsidRPr="00761225" w:rsidRDefault="000D29B3" w:rsidP="000D29B3">
      <w:pPr>
        <w:rPr>
          <w:rFonts w:ascii="Times New Roman" w:hAnsi="Times New Roman"/>
          <w:i/>
          <w:sz w:val="24"/>
        </w:rPr>
      </w:pPr>
      <w:r w:rsidRPr="00761225">
        <w:rPr>
          <w:rFonts w:ascii="Times New Roman" w:hAnsi="Times New Roman"/>
          <w:i/>
          <w:sz w:val="24"/>
        </w:rPr>
        <w:t xml:space="preserve">Uit de toelichting blijkt reeds dat het niet de bedoeling is dat de toezichthouder actief toeziet op naleving van alle normen bij alle ondernemingen die onder het bereik van het voorstel vallen. De toezichthouder moet prioriteiten stellen en zich focussen op de grotere ondernemingen en vooral op de grootste risico’s.  </w:t>
      </w:r>
    </w:p>
    <w:p w14:paraId="7E22B9C3" w14:textId="77777777" w:rsidR="000D29B3" w:rsidRPr="00761225" w:rsidRDefault="000D29B3" w:rsidP="000D29B3">
      <w:pPr>
        <w:rPr>
          <w:rFonts w:ascii="Times New Roman" w:hAnsi="Times New Roman"/>
          <w:i/>
          <w:sz w:val="24"/>
        </w:rPr>
      </w:pPr>
    </w:p>
    <w:p w14:paraId="153D7C82" w14:textId="77777777" w:rsidR="000D29B3" w:rsidRPr="00761225" w:rsidRDefault="000D29B3" w:rsidP="000D29B3">
      <w:pPr>
        <w:rPr>
          <w:rFonts w:ascii="Times New Roman" w:hAnsi="Times New Roman"/>
          <w:i/>
          <w:sz w:val="24"/>
        </w:rPr>
      </w:pPr>
      <w:r w:rsidRPr="00761225">
        <w:rPr>
          <w:rFonts w:ascii="Times New Roman" w:hAnsi="Times New Roman"/>
          <w:i/>
          <w:sz w:val="24"/>
        </w:rPr>
        <w:t xml:space="preserve">Veel ondernemingen zullen de toezichthouder vragen wat van hen verwacht wordt. Dat betekent een verschuiving van de verantwoordelijkheid van invulling van de normen van de onderneming naar de (publieke) toezichthouder. Dat levert een zware uitvoeringslast op voor de toezichthouder. Ook is het zaak oog te hebben voor het risico dat als gevolg van het externe toezicht de aandacht vooral wordt gericht op het voldoen aan de door de toezichthouder gestelde eisen, terwijl het eigenlijke doel, het adequaat vormgeven van maatschappelijk verantwoord en duurzaam ondernemen, buiten beeld raakt. </w:t>
      </w:r>
    </w:p>
    <w:p w14:paraId="72DE34B5" w14:textId="77777777" w:rsidR="000D29B3" w:rsidRPr="00761225" w:rsidRDefault="000D29B3" w:rsidP="000D29B3">
      <w:pPr>
        <w:rPr>
          <w:rFonts w:ascii="Times New Roman" w:hAnsi="Times New Roman"/>
          <w:i/>
          <w:sz w:val="24"/>
        </w:rPr>
      </w:pPr>
    </w:p>
    <w:p w14:paraId="5198E768" w14:textId="77777777" w:rsidR="000D29B3" w:rsidRPr="000D29B3" w:rsidRDefault="000D29B3" w:rsidP="000D29B3">
      <w:pPr>
        <w:rPr>
          <w:rFonts w:ascii="Times New Roman" w:hAnsi="Times New Roman"/>
          <w:sz w:val="24"/>
        </w:rPr>
      </w:pPr>
      <w:r w:rsidRPr="00761225">
        <w:rPr>
          <w:rFonts w:ascii="Times New Roman" w:hAnsi="Times New Roman"/>
          <w:i/>
          <w:sz w:val="24"/>
        </w:rPr>
        <w:t>Daarbij komt het aspect van mogelijke handhavingsproblemen wanneer maatregelen moeten worden gecontroleerd die implicaties hebben voor buitenlandse vestigingen of relaties met derde partijen in het buitenland. Wanneer afdoende internationale consensus ten aanzien van normstelling in specifieke sectoren, producten of misstanden ontbreekt, dan wel de handhaving op lokaal niveau (nog) niet naar behoren functioneert, is de rol van de nationale toezichthouder over de grens in ieder geval beperkt. De toelichting gaat op deze problematiek niet in</w:t>
      </w:r>
      <w:r w:rsidRPr="00761225">
        <w:rPr>
          <w:rFonts w:ascii="Times New Roman" w:hAnsi="Times New Roman"/>
          <w:sz w:val="24"/>
        </w:rPr>
        <w:t>.</w:t>
      </w:r>
      <w:r w:rsidRPr="000D29B3">
        <w:rPr>
          <w:rFonts w:ascii="Times New Roman" w:hAnsi="Times New Roman"/>
          <w:sz w:val="24"/>
        </w:rPr>
        <w:t xml:space="preserve"> </w:t>
      </w:r>
    </w:p>
    <w:p w14:paraId="71F27119" w14:textId="77777777" w:rsidR="000D29B3" w:rsidRPr="000D29B3" w:rsidRDefault="000D29B3" w:rsidP="000D29B3">
      <w:pPr>
        <w:rPr>
          <w:rFonts w:ascii="Times New Roman" w:hAnsi="Times New Roman"/>
          <w:sz w:val="24"/>
        </w:rPr>
      </w:pPr>
    </w:p>
    <w:p w14:paraId="7CE9B0A2" w14:textId="69C9625B" w:rsidR="00091691" w:rsidRPr="0051793A" w:rsidRDefault="00091691" w:rsidP="00091691">
      <w:pPr>
        <w:rPr>
          <w:rFonts w:ascii="Times New Roman" w:hAnsi="Times New Roman"/>
          <w:b/>
          <w:sz w:val="24"/>
        </w:rPr>
      </w:pPr>
      <w:r w:rsidRPr="0051793A">
        <w:rPr>
          <w:rFonts w:ascii="Times New Roman" w:hAnsi="Times New Roman"/>
          <w:b/>
          <w:sz w:val="24"/>
        </w:rPr>
        <w:t xml:space="preserve">Reactie: </w:t>
      </w:r>
    </w:p>
    <w:p w14:paraId="6AFA3A30" w14:textId="4BFA3DDD" w:rsidR="006A46C1" w:rsidRPr="0051793A" w:rsidRDefault="006A46C1" w:rsidP="006A46C1">
      <w:pPr>
        <w:rPr>
          <w:rFonts w:ascii="Times New Roman" w:hAnsi="Times New Roman"/>
          <w:sz w:val="24"/>
        </w:rPr>
      </w:pPr>
    </w:p>
    <w:p w14:paraId="291E3724" w14:textId="48BAC7F9" w:rsidR="00377F0C" w:rsidRPr="0051793A" w:rsidRDefault="007B3863" w:rsidP="006A46C1">
      <w:pPr>
        <w:rPr>
          <w:rFonts w:ascii="Times New Roman" w:hAnsi="Times New Roman"/>
          <w:sz w:val="24"/>
        </w:rPr>
      </w:pPr>
      <w:r w:rsidRPr="0051793A">
        <w:rPr>
          <w:rFonts w:ascii="Times New Roman" w:hAnsi="Times New Roman"/>
          <w:sz w:val="24"/>
        </w:rPr>
        <w:t xml:space="preserve">De initiatiefnemers erkennen het belang van duidelijke normstelling </w:t>
      </w:r>
      <w:r w:rsidR="003948F5" w:rsidRPr="0051793A">
        <w:rPr>
          <w:rFonts w:ascii="Times New Roman" w:hAnsi="Times New Roman"/>
          <w:sz w:val="24"/>
        </w:rPr>
        <w:t xml:space="preserve">voor </w:t>
      </w:r>
      <w:r w:rsidRPr="0051793A">
        <w:rPr>
          <w:rFonts w:ascii="Times New Roman" w:hAnsi="Times New Roman"/>
          <w:sz w:val="24"/>
        </w:rPr>
        <w:t xml:space="preserve">effectieve handhaving en het bieden van rechtszekerheid voor </w:t>
      </w:r>
      <w:r w:rsidR="00C06636" w:rsidRPr="0051793A">
        <w:rPr>
          <w:rFonts w:ascii="Times New Roman" w:hAnsi="Times New Roman"/>
          <w:sz w:val="24"/>
        </w:rPr>
        <w:t>ondernemingen</w:t>
      </w:r>
      <w:r w:rsidRPr="0051793A">
        <w:rPr>
          <w:rFonts w:ascii="Times New Roman" w:hAnsi="Times New Roman"/>
          <w:sz w:val="24"/>
        </w:rPr>
        <w:t xml:space="preserve">. De wet is daarom op verschillende onderdelen aangepast, zoals </w:t>
      </w:r>
      <w:r w:rsidR="003948F5" w:rsidRPr="0051793A">
        <w:rPr>
          <w:rFonts w:ascii="Times New Roman" w:hAnsi="Times New Roman"/>
          <w:sz w:val="24"/>
        </w:rPr>
        <w:t xml:space="preserve">onder punt 3a </w:t>
      </w:r>
      <w:r w:rsidR="00001CC4" w:rsidRPr="0051793A">
        <w:rPr>
          <w:rFonts w:ascii="Times New Roman" w:hAnsi="Times New Roman"/>
          <w:sz w:val="24"/>
        </w:rPr>
        <w:t xml:space="preserve">en 3b </w:t>
      </w:r>
      <w:r w:rsidRPr="0051793A">
        <w:rPr>
          <w:rFonts w:ascii="Times New Roman" w:hAnsi="Times New Roman"/>
          <w:sz w:val="24"/>
        </w:rPr>
        <w:t>ook al beschreven is.</w:t>
      </w:r>
      <w:r w:rsidR="003948F5" w:rsidRPr="0051793A">
        <w:rPr>
          <w:rFonts w:ascii="Times New Roman" w:hAnsi="Times New Roman"/>
          <w:sz w:val="24"/>
        </w:rPr>
        <w:t xml:space="preserve"> </w:t>
      </w:r>
    </w:p>
    <w:p w14:paraId="4984AFF0" w14:textId="77777777" w:rsidR="00891D29" w:rsidRPr="0051793A" w:rsidRDefault="00891D29" w:rsidP="00891D29">
      <w:pPr>
        <w:rPr>
          <w:rFonts w:ascii="Times New Roman" w:hAnsi="Times New Roman"/>
          <w:sz w:val="24"/>
        </w:rPr>
      </w:pPr>
    </w:p>
    <w:p w14:paraId="13232658" w14:textId="688BC5DB" w:rsidR="007B3863" w:rsidRPr="0051793A" w:rsidRDefault="003948F5" w:rsidP="00891D29">
      <w:pPr>
        <w:rPr>
          <w:rFonts w:ascii="Times New Roman" w:hAnsi="Times New Roman"/>
          <w:sz w:val="24"/>
        </w:rPr>
      </w:pPr>
      <w:r w:rsidRPr="0051793A">
        <w:rPr>
          <w:rFonts w:ascii="Times New Roman" w:hAnsi="Times New Roman"/>
          <w:sz w:val="24"/>
        </w:rPr>
        <w:t>Over</w:t>
      </w:r>
      <w:r w:rsidR="00891D29" w:rsidRPr="0051793A">
        <w:rPr>
          <w:rFonts w:ascii="Times New Roman" w:hAnsi="Times New Roman"/>
          <w:sz w:val="24"/>
        </w:rPr>
        <w:t xml:space="preserve"> het toezicht, merken de initiatiefnemers op dat de bedoeling hiervan is dat </w:t>
      </w:r>
      <w:r w:rsidR="00C06636" w:rsidRPr="0051793A">
        <w:rPr>
          <w:rFonts w:ascii="Times New Roman" w:hAnsi="Times New Roman"/>
          <w:sz w:val="24"/>
        </w:rPr>
        <w:t>ondernemingen</w:t>
      </w:r>
      <w:r w:rsidR="00891D29" w:rsidRPr="0051793A">
        <w:rPr>
          <w:rFonts w:ascii="Times New Roman" w:hAnsi="Times New Roman"/>
          <w:sz w:val="24"/>
        </w:rPr>
        <w:t xml:space="preserve"> </w:t>
      </w:r>
      <w:r w:rsidR="00820C12" w:rsidRPr="0051793A">
        <w:rPr>
          <w:rFonts w:ascii="Times New Roman" w:hAnsi="Times New Roman"/>
          <w:sz w:val="24"/>
        </w:rPr>
        <w:t xml:space="preserve">de </w:t>
      </w:r>
      <w:r w:rsidR="007B3863" w:rsidRPr="0051793A">
        <w:rPr>
          <w:rFonts w:ascii="Times New Roman" w:hAnsi="Times New Roman"/>
          <w:sz w:val="24"/>
        </w:rPr>
        <w:t xml:space="preserve">gelegenheid gegeven wordt </w:t>
      </w:r>
      <w:r w:rsidR="00820C12" w:rsidRPr="0051793A">
        <w:rPr>
          <w:rFonts w:ascii="Times New Roman" w:hAnsi="Times New Roman"/>
          <w:sz w:val="24"/>
        </w:rPr>
        <w:t xml:space="preserve">zich te verbeteren en eventuele vragen over de normstelling te verhelderen, alvorens wordt overgegaan tot </w:t>
      </w:r>
      <w:r w:rsidRPr="0051793A">
        <w:rPr>
          <w:rFonts w:ascii="Times New Roman" w:hAnsi="Times New Roman"/>
          <w:sz w:val="24"/>
        </w:rPr>
        <w:t>handhavende</w:t>
      </w:r>
      <w:r w:rsidR="00820C12" w:rsidRPr="0051793A">
        <w:rPr>
          <w:rFonts w:ascii="Times New Roman" w:hAnsi="Times New Roman"/>
          <w:sz w:val="24"/>
        </w:rPr>
        <w:t xml:space="preserve"> maatregelen, zoals de last onder dwangsom of de bestuurlijke boete.</w:t>
      </w:r>
      <w:r w:rsidR="00510A49" w:rsidRPr="0051793A">
        <w:rPr>
          <w:rFonts w:ascii="Times New Roman" w:hAnsi="Times New Roman"/>
          <w:sz w:val="24"/>
        </w:rPr>
        <w:t xml:space="preserve"> </w:t>
      </w:r>
      <w:r w:rsidRPr="0051793A">
        <w:rPr>
          <w:rFonts w:ascii="Times New Roman" w:hAnsi="Times New Roman"/>
          <w:sz w:val="24"/>
        </w:rPr>
        <w:t>Daarom zit in de bevoegdheid tot oplegging van een bestuurlijke boete ook de mogelijkheid om eerst een aanwijzing te geven.</w:t>
      </w:r>
    </w:p>
    <w:p w14:paraId="1DF27EB1" w14:textId="77777777" w:rsidR="007B3863" w:rsidRPr="0051793A" w:rsidRDefault="007B3863" w:rsidP="006A46C1">
      <w:pPr>
        <w:rPr>
          <w:rFonts w:ascii="Times New Roman" w:hAnsi="Times New Roman"/>
          <w:sz w:val="24"/>
        </w:rPr>
      </w:pPr>
    </w:p>
    <w:p w14:paraId="5A242A7D" w14:textId="234109E0" w:rsidR="006A46C1" w:rsidRPr="0051793A" w:rsidRDefault="00510A49" w:rsidP="006A46C1">
      <w:pPr>
        <w:rPr>
          <w:rFonts w:ascii="Times New Roman" w:hAnsi="Times New Roman"/>
          <w:sz w:val="24"/>
        </w:rPr>
      </w:pPr>
      <w:r w:rsidRPr="0051793A">
        <w:rPr>
          <w:rFonts w:ascii="Times New Roman" w:hAnsi="Times New Roman"/>
          <w:sz w:val="24"/>
        </w:rPr>
        <w:t xml:space="preserve">De toezichthouder is er </w:t>
      </w:r>
      <w:r w:rsidR="007B3863" w:rsidRPr="0051793A">
        <w:rPr>
          <w:rFonts w:ascii="Times New Roman" w:hAnsi="Times New Roman"/>
          <w:sz w:val="24"/>
        </w:rPr>
        <w:t>uiteraard</w:t>
      </w:r>
      <w:r w:rsidRPr="0051793A">
        <w:rPr>
          <w:rFonts w:ascii="Times New Roman" w:hAnsi="Times New Roman"/>
          <w:sz w:val="24"/>
        </w:rPr>
        <w:t xml:space="preserve"> op gericht dat </w:t>
      </w:r>
      <w:r w:rsidR="007057F3" w:rsidRPr="0051793A">
        <w:rPr>
          <w:rFonts w:ascii="Times New Roman" w:hAnsi="Times New Roman"/>
          <w:sz w:val="24"/>
        </w:rPr>
        <w:t>de wetgeving leidt tot daadwerkelijke verbetering van de situatie in de ketens, in plaats van het slechts op papier voldoen aan eisen van de toezichthouder, die in de praktijk geen effect hebben.</w:t>
      </w:r>
      <w:r w:rsidR="00C47731" w:rsidRPr="0051793A">
        <w:rPr>
          <w:rFonts w:ascii="Times New Roman" w:hAnsi="Times New Roman"/>
          <w:sz w:val="24"/>
        </w:rPr>
        <w:t xml:space="preserve"> </w:t>
      </w:r>
      <w:r w:rsidR="00BA6464" w:rsidRPr="0051793A">
        <w:rPr>
          <w:rFonts w:ascii="Times New Roman" w:hAnsi="Times New Roman"/>
          <w:sz w:val="24"/>
        </w:rPr>
        <w:t>Daarom</w:t>
      </w:r>
      <w:r w:rsidR="007259B2" w:rsidRPr="0051793A">
        <w:rPr>
          <w:rFonts w:ascii="Times New Roman" w:hAnsi="Times New Roman"/>
          <w:sz w:val="24"/>
        </w:rPr>
        <w:t xml:space="preserve"> kunnen bovengenoemde uitspraken van de Afdeling bestuursrechtspraak over de handhaving van de Houtverordening als een steun in de rug worden beschouwd voor de werkzaamheden van een toezichthouder.</w:t>
      </w:r>
    </w:p>
    <w:p w14:paraId="47625380" w14:textId="222A32F0" w:rsidR="00A16A5F" w:rsidRPr="0051793A" w:rsidRDefault="00A16A5F" w:rsidP="006A46C1">
      <w:pPr>
        <w:rPr>
          <w:rFonts w:ascii="Times New Roman" w:hAnsi="Times New Roman"/>
          <w:sz w:val="24"/>
        </w:rPr>
      </w:pPr>
    </w:p>
    <w:p w14:paraId="61510B33" w14:textId="06B46448" w:rsidR="00E333C7" w:rsidRPr="0051793A" w:rsidRDefault="00A16A5F" w:rsidP="006A46C1">
      <w:pPr>
        <w:rPr>
          <w:rFonts w:ascii="Times New Roman" w:hAnsi="Times New Roman"/>
          <w:sz w:val="24"/>
        </w:rPr>
      </w:pPr>
      <w:r w:rsidRPr="0051793A">
        <w:rPr>
          <w:rFonts w:ascii="Times New Roman" w:hAnsi="Times New Roman"/>
          <w:sz w:val="24"/>
        </w:rPr>
        <w:t xml:space="preserve">De toezichthouder houdt in principe toezicht op het gedrag van ondernemingen die op de Nederlandse markt actief zijn. Om te beoordelen of </w:t>
      </w:r>
      <w:r w:rsidR="00117F0F" w:rsidRPr="0051793A">
        <w:rPr>
          <w:rFonts w:ascii="Times New Roman" w:hAnsi="Times New Roman"/>
          <w:sz w:val="24"/>
        </w:rPr>
        <w:t xml:space="preserve">deze </w:t>
      </w:r>
      <w:r w:rsidR="00C06636" w:rsidRPr="0051793A">
        <w:rPr>
          <w:rFonts w:ascii="Times New Roman" w:hAnsi="Times New Roman"/>
          <w:sz w:val="24"/>
        </w:rPr>
        <w:t>ondernemingen</w:t>
      </w:r>
      <w:r w:rsidR="00117F0F" w:rsidRPr="0051793A">
        <w:rPr>
          <w:rFonts w:ascii="Times New Roman" w:hAnsi="Times New Roman"/>
          <w:sz w:val="24"/>
        </w:rPr>
        <w:t xml:space="preserve"> zich aan de wet houden kan d</w:t>
      </w:r>
      <w:r w:rsidRPr="0051793A">
        <w:rPr>
          <w:rFonts w:ascii="Times New Roman" w:hAnsi="Times New Roman"/>
          <w:sz w:val="24"/>
        </w:rPr>
        <w:t xml:space="preserve">e toezichthouder </w:t>
      </w:r>
      <w:r w:rsidR="00BD44CE" w:rsidRPr="0051793A">
        <w:rPr>
          <w:rFonts w:ascii="Times New Roman" w:hAnsi="Times New Roman"/>
          <w:sz w:val="24"/>
        </w:rPr>
        <w:t>een uitgebreid palet aan handhavings</w:t>
      </w:r>
      <w:r w:rsidR="00E333C7" w:rsidRPr="0051793A">
        <w:rPr>
          <w:rFonts w:ascii="Times New Roman" w:hAnsi="Times New Roman"/>
          <w:sz w:val="24"/>
        </w:rPr>
        <w:t>- en toezichtsbevoegdheden hanteren, van het opvragen van informatie tot het betreden van plaatsen al dan niet met apparatuur en de sterke arm (zie titel 5.2 van de Algemene wet bestuursrecht).</w:t>
      </w:r>
      <w:r w:rsidR="00117F0F" w:rsidRPr="0051793A">
        <w:rPr>
          <w:rFonts w:ascii="Times New Roman" w:hAnsi="Times New Roman"/>
          <w:sz w:val="24"/>
        </w:rPr>
        <w:t xml:space="preserve"> Daarnaast kan de toezichthouder </w:t>
      </w:r>
      <w:r w:rsidR="00BA6464" w:rsidRPr="0051793A">
        <w:rPr>
          <w:rFonts w:ascii="Times New Roman" w:hAnsi="Times New Roman"/>
          <w:sz w:val="24"/>
        </w:rPr>
        <w:t>ingediende gemotiveerde bezwaren gebruiken als een belangrijke informatiebron.</w:t>
      </w:r>
      <w:r w:rsidR="00FD2BED" w:rsidRPr="0051793A">
        <w:rPr>
          <w:rFonts w:ascii="Times New Roman" w:hAnsi="Times New Roman"/>
          <w:sz w:val="24"/>
        </w:rPr>
        <w:t xml:space="preserve"> </w:t>
      </w:r>
    </w:p>
    <w:p w14:paraId="47F0E812" w14:textId="7EE28C4D" w:rsidR="00A16A5F" w:rsidRPr="0051793A" w:rsidRDefault="00FD2BED" w:rsidP="006A46C1">
      <w:pPr>
        <w:rPr>
          <w:rFonts w:ascii="Times New Roman" w:hAnsi="Times New Roman"/>
          <w:sz w:val="24"/>
        </w:rPr>
      </w:pPr>
      <w:r w:rsidRPr="0051793A">
        <w:rPr>
          <w:rFonts w:ascii="Times New Roman" w:hAnsi="Times New Roman"/>
          <w:sz w:val="24"/>
        </w:rPr>
        <w:t xml:space="preserve">Ook kan de toezichthouder informatie vergaren over de activiteiten van ondernemingen in het buitenland </w:t>
      </w:r>
      <w:r w:rsidR="003B760B" w:rsidRPr="0051793A">
        <w:rPr>
          <w:rFonts w:ascii="Times New Roman" w:hAnsi="Times New Roman"/>
          <w:sz w:val="24"/>
        </w:rPr>
        <w:t xml:space="preserve">door in gesprek te gaan met buitenlandse toezichthouders en onderzoek te laten uitvoeren. Verschillende uitspraken van het Nederlandse Nationaal Contactpunt (NCP) voor de OESO-Richtlijnen over de naleving </w:t>
      </w:r>
      <w:r w:rsidR="00E333C7" w:rsidRPr="0051793A">
        <w:rPr>
          <w:rFonts w:ascii="Times New Roman" w:hAnsi="Times New Roman"/>
          <w:sz w:val="24"/>
        </w:rPr>
        <w:t>daarvan</w:t>
      </w:r>
      <w:r w:rsidR="003B760B" w:rsidRPr="0051793A">
        <w:rPr>
          <w:rFonts w:ascii="Times New Roman" w:hAnsi="Times New Roman"/>
          <w:sz w:val="24"/>
        </w:rPr>
        <w:t xml:space="preserve"> door ondernemingen in het buitenland bewijzen dat het wel degelijk </w:t>
      </w:r>
      <w:r w:rsidR="00377F0C" w:rsidRPr="0051793A">
        <w:rPr>
          <w:rFonts w:ascii="Times New Roman" w:hAnsi="Times New Roman"/>
          <w:sz w:val="24"/>
        </w:rPr>
        <w:t xml:space="preserve">mogelijk </w:t>
      </w:r>
      <w:r w:rsidR="003B760B" w:rsidRPr="0051793A">
        <w:rPr>
          <w:rFonts w:ascii="Times New Roman" w:hAnsi="Times New Roman"/>
          <w:sz w:val="24"/>
        </w:rPr>
        <w:t>is om hier vanuit Nederland uitspraken over te doen.</w:t>
      </w:r>
      <w:r w:rsidR="00D03E3B" w:rsidRPr="0051793A">
        <w:rPr>
          <w:rStyle w:val="Voetnootmarkering"/>
          <w:rFonts w:ascii="Times New Roman" w:hAnsi="Times New Roman"/>
          <w:sz w:val="24"/>
        </w:rPr>
        <w:footnoteReference w:id="5"/>
      </w:r>
      <w:r w:rsidR="003B760B" w:rsidRPr="0051793A">
        <w:rPr>
          <w:rFonts w:ascii="Times New Roman" w:hAnsi="Times New Roman"/>
          <w:sz w:val="24"/>
        </w:rPr>
        <w:t xml:space="preserve"> Ook kan de toezichthouder extern onderzoek uit laten zetten, zoals het NCP bijvoorbeeld heeft gedaan met betrekking tot de olie- en gassector.</w:t>
      </w:r>
      <w:r w:rsidR="00A64D4A" w:rsidRPr="0051793A">
        <w:rPr>
          <w:rStyle w:val="Voetnootmarkering"/>
          <w:rFonts w:ascii="Times New Roman" w:hAnsi="Times New Roman"/>
          <w:sz w:val="24"/>
        </w:rPr>
        <w:footnoteReference w:id="6"/>
      </w:r>
    </w:p>
    <w:p w14:paraId="373CEBCB" w14:textId="372E8976" w:rsidR="0011318A" w:rsidRPr="0051793A" w:rsidRDefault="0011318A" w:rsidP="006A46C1">
      <w:pPr>
        <w:rPr>
          <w:rFonts w:ascii="Times New Roman" w:hAnsi="Times New Roman"/>
          <w:sz w:val="24"/>
        </w:rPr>
      </w:pPr>
    </w:p>
    <w:p w14:paraId="0F5C4EFC" w14:textId="453C5038" w:rsidR="0011318A" w:rsidRPr="0051793A" w:rsidRDefault="0011318A" w:rsidP="006A46C1">
      <w:pPr>
        <w:rPr>
          <w:rFonts w:ascii="Times New Roman" w:hAnsi="Times New Roman"/>
          <w:sz w:val="24"/>
        </w:rPr>
      </w:pPr>
      <w:r w:rsidRPr="0051793A">
        <w:rPr>
          <w:rFonts w:ascii="Times New Roman" w:hAnsi="Times New Roman"/>
          <w:sz w:val="24"/>
        </w:rPr>
        <w:t xml:space="preserve">De </w:t>
      </w:r>
      <w:r w:rsidR="007E5852" w:rsidRPr="0051793A">
        <w:rPr>
          <w:rFonts w:ascii="Times New Roman" w:hAnsi="Times New Roman"/>
          <w:sz w:val="24"/>
        </w:rPr>
        <w:t>Afdeling</w:t>
      </w:r>
      <w:r w:rsidRPr="0051793A">
        <w:rPr>
          <w:rFonts w:ascii="Times New Roman" w:hAnsi="Times New Roman"/>
          <w:sz w:val="24"/>
        </w:rPr>
        <w:t xml:space="preserve"> </w:t>
      </w:r>
      <w:r w:rsidR="00BA6464" w:rsidRPr="0051793A">
        <w:rPr>
          <w:rFonts w:ascii="Times New Roman" w:hAnsi="Times New Roman"/>
          <w:sz w:val="24"/>
        </w:rPr>
        <w:t xml:space="preserve">advisering </w:t>
      </w:r>
      <w:r w:rsidR="00206AD9" w:rsidRPr="0051793A">
        <w:rPr>
          <w:rFonts w:ascii="Times New Roman" w:hAnsi="Times New Roman"/>
          <w:sz w:val="24"/>
        </w:rPr>
        <w:t xml:space="preserve">constateert een mogelijk probleem voor de toezichthouder wanneer afdoende internationale consensus ten aanzien van normstelling in specifieke sectoren, producten of misstanden ontbreekt, dan wel de handhaving op lokaal niveau (nog) niet naar behoren functioneert. Wat de internationale consensus betreft, verwijzen de initiatiefnemers naar wat zij </w:t>
      </w:r>
      <w:r w:rsidR="00383E0B" w:rsidRPr="0051793A">
        <w:rPr>
          <w:rFonts w:ascii="Times New Roman" w:hAnsi="Times New Roman"/>
          <w:sz w:val="24"/>
        </w:rPr>
        <w:t>daar hierboven</w:t>
      </w:r>
      <w:r w:rsidR="00206AD9" w:rsidRPr="0051793A">
        <w:rPr>
          <w:rFonts w:ascii="Times New Roman" w:hAnsi="Times New Roman"/>
          <w:sz w:val="24"/>
        </w:rPr>
        <w:t xml:space="preserve"> over opgemerkt hebben</w:t>
      </w:r>
      <w:r w:rsidR="00BA6464" w:rsidRPr="0051793A">
        <w:rPr>
          <w:rFonts w:ascii="Times New Roman" w:hAnsi="Times New Roman"/>
          <w:sz w:val="24"/>
        </w:rPr>
        <w:t xml:space="preserve"> over de internationale normen</w:t>
      </w:r>
      <w:r w:rsidR="00383E0B" w:rsidRPr="0051793A">
        <w:rPr>
          <w:rFonts w:ascii="Times New Roman" w:hAnsi="Times New Roman"/>
          <w:sz w:val="24"/>
        </w:rPr>
        <w:t>. Verder benadrukken zij dat de internationale consensus</w:t>
      </w:r>
      <w:r w:rsidR="00E333C7" w:rsidRPr="0051793A">
        <w:rPr>
          <w:rFonts w:ascii="Times New Roman" w:hAnsi="Times New Roman"/>
          <w:sz w:val="24"/>
        </w:rPr>
        <w:t>,</w:t>
      </w:r>
      <w:r w:rsidR="00383E0B" w:rsidRPr="0051793A">
        <w:rPr>
          <w:rFonts w:ascii="Times New Roman" w:hAnsi="Times New Roman"/>
          <w:sz w:val="24"/>
        </w:rPr>
        <w:t xml:space="preserve"> zoals die is neergelegd in met name de OESO-richtlijnen</w:t>
      </w:r>
      <w:r w:rsidR="00DB4E76" w:rsidRPr="0051793A">
        <w:rPr>
          <w:rFonts w:ascii="Times New Roman" w:hAnsi="Times New Roman"/>
          <w:sz w:val="24"/>
        </w:rPr>
        <w:t>,</w:t>
      </w:r>
      <w:r w:rsidR="00383E0B" w:rsidRPr="0051793A">
        <w:rPr>
          <w:rFonts w:ascii="Times New Roman" w:hAnsi="Times New Roman"/>
          <w:sz w:val="24"/>
        </w:rPr>
        <w:t xml:space="preserve"> uitgangspunt is voor </w:t>
      </w:r>
      <w:r w:rsidR="00BA6464" w:rsidRPr="0051793A">
        <w:rPr>
          <w:rFonts w:ascii="Times New Roman" w:hAnsi="Times New Roman"/>
          <w:sz w:val="24"/>
        </w:rPr>
        <w:t>dit wetsvoorstel</w:t>
      </w:r>
      <w:r w:rsidR="00383E0B" w:rsidRPr="0051793A">
        <w:rPr>
          <w:rFonts w:ascii="Times New Roman" w:hAnsi="Times New Roman"/>
          <w:sz w:val="24"/>
        </w:rPr>
        <w:t xml:space="preserve">. </w:t>
      </w:r>
      <w:r w:rsidR="00E333C7" w:rsidRPr="0051793A">
        <w:rPr>
          <w:rFonts w:ascii="Times New Roman" w:hAnsi="Times New Roman"/>
          <w:sz w:val="24"/>
        </w:rPr>
        <w:t xml:space="preserve">Voor </w:t>
      </w:r>
      <w:r w:rsidR="00A74A49" w:rsidRPr="0051793A">
        <w:rPr>
          <w:rFonts w:ascii="Times New Roman" w:hAnsi="Times New Roman"/>
          <w:sz w:val="24"/>
        </w:rPr>
        <w:t>de opmerking over de</w:t>
      </w:r>
      <w:r w:rsidR="00383E0B" w:rsidRPr="0051793A">
        <w:rPr>
          <w:rFonts w:ascii="Times New Roman" w:hAnsi="Times New Roman"/>
          <w:sz w:val="24"/>
        </w:rPr>
        <w:t xml:space="preserve"> misstanden </w:t>
      </w:r>
      <w:r w:rsidR="00A74A49" w:rsidRPr="0051793A">
        <w:rPr>
          <w:rFonts w:ascii="Times New Roman" w:hAnsi="Times New Roman"/>
          <w:sz w:val="24"/>
        </w:rPr>
        <w:t>wijzen de initiatiefnemers op de opsomming van de</w:t>
      </w:r>
      <w:r w:rsidR="00063F31" w:rsidRPr="0051793A">
        <w:rPr>
          <w:rFonts w:ascii="Times New Roman" w:hAnsi="Times New Roman"/>
          <w:sz w:val="24"/>
        </w:rPr>
        <w:t xml:space="preserve"> </w:t>
      </w:r>
      <w:r w:rsidR="00A74A49" w:rsidRPr="0051793A">
        <w:rPr>
          <w:rFonts w:ascii="Times New Roman" w:hAnsi="Times New Roman"/>
          <w:sz w:val="24"/>
        </w:rPr>
        <w:t xml:space="preserve">belangrijkste misstanden, </w:t>
      </w:r>
      <w:r w:rsidR="00063F31" w:rsidRPr="0051793A">
        <w:rPr>
          <w:rFonts w:ascii="Times New Roman" w:hAnsi="Times New Roman"/>
          <w:sz w:val="24"/>
        </w:rPr>
        <w:t>in artikel 1.2</w:t>
      </w:r>
      <w:r w:rsidR="00A74A49" w:rsidRPr="0051793A">
        <w:rPr>
          <w:rFonts w:ascii="Times New Roman" w:hAnsi="Times New Roman"/>
          <w:sz w:val="24"/>
        </w:rPr>
        <w:t>,</w:t>
      </w:r>
      <w:r w:rsidR="00063F31" w:rsidRPr="0051793A">
        <w:rPr>
          <w:rFonts w:ascii="Times New Roman" w:hAnsi="Times New Roman"/>
          <w:sz w:val="24"/>
        </w:rPr>
        <w:t xml:space="preserve"> tweede lid.</w:t>
      </w:r>
    </w:p>
    <w:p w14:paraId="517ADE43" w14:textId="71AD89E0" w:rsidR="00C46069" w:rsidRPr="0051793A" w:rsidRDefault="00C46069" w:rsidP="006A46C1">
      <w:pPr>
        <w:rPr>
          <w:rFonts w:ascii="Times New Roman" w:hAnsi="Times New Roman"/>
          <w:sz w:val="24"/>
        </w:rPr>
      </w:pPr>
    </w:p>
    <w:p w14:paraId="06BC00FB" w14:textId="1E4C9145" w:rsidR="00A74A49" w:rsidRPr="0051793A" w:rsidRDefault="00C46069" w:rsidP="006A46C1">
      <w:pPr>
        <w:rPr>
          <w:rFonts w:ascii="Times New Roman" w:hAnsi="Times New Roman"/>
          <w:sz w:val="24"/>
        </w:rPr>
      </w:pPr>
      <w:r w:rsidRPr="0051793A">
        <w:rPr>
          <w:rFonts w:ascii="Times New Roman" w:hAnsi="Times New Roman"/>
          <w:sz w:val="24"/>
        </w:rPr>
        <w:t xml:space="preserve">Of handhaving op lokaal niveau adequaat functioneert, is daarbij van ondergeschikt belang. Het zijn de ondernemingen </w:t>
      </w:r>
      <w:r w:rsidR="00BA45E8" w:rsidRPr="0051793A">
        <w:rPr>
          <w:rFonts w:ascii="Times New Roman" w:hAnsi="Times New Roman"/>
          <w:sz w:val="24"/>
        </w:rPr>
        <w:t xml:space="preserve">in Nederland </w:t>
      </w:r>
      <w:r w:rsidRPr="0051793A">
        <w:rPr>
          <w:rFonts w:ascii="Times New Roman" w:hAnsi="Times New Roman"/>
          <w:sz w:val="24"/>
        </w:rPr>
        <w:t xml:space="preserve">die onder de wet vallen </w:t>
      </w:r>
      <w:r w:rsidR="00A74A49" w:rsidRPr="0051793A">
        <w:rPr>
          <w:rFonts w:ascii="Times New Roman" w:hAnsi="Times New Roman"/>
          <w:sz w:val="24"/>
        </w:rPr>
        <w:t xml:space="preserve">en </w:t>
      </w:r>
      <w:r w:rsidRPr="0051793A">
        <w:rPr>
          <w:rFonts w:ascii="Times New Roman" w:hAnsi="Times New Roman"/>
          <w:sz w:val="24"/>
        </w:rPr>
        <w:t>die door de toezichthouder aangesproken kunnen worden op het al dan niet naleven van de</w:t>
      </w:r>
      <w:r w:rsidR="00A74A49" w:rsidRPr="0051793A">
        <w:rPr>
          <w:rFonts w:ascii="Times New Roman" w:hAnsi="Times New Roman"/>
          <w:sz w:val="24"/>
        </w:rPr>
        <w:t xml:space="preserve"> voorschriften</w:t>
      </w:r>
      <w:r w:rsidR="001B553F" w:rsidRPr="0051793A">
        <w:rPr>
          <w:rFonts w:ascii="Times New Roman" w:hAnsi="Times New Roman"/>
          <w:sz w:val="24"/>
        </w:rPr>
        <w:t>; zij dienen zich tegenover de toezichthouder daarover te verantwoorden</w:t>
      </w:r>
      <w:r w:rsidRPr="0051793A">
        <w:rPr>
          <w:rFonts w:ascii="Times New Roman" w:hAnsi="Times New Roman"/>
          <w:sz w:val="24"/>
        </w:rPr>
        <w:t xml:space="preserve">. </w:t>
      </w:r>
      <w:r w:rsidR="007259B2" w:rsidRPr="0051793A">
        <w:rPr>
          <w:rFonts w:ascii="Times New Roman" w:hAnsi="Times New Roman"/>
          <w:sz w:val="24"/>
        </w:rPr>
        <w:t xml:space="preserve">Daarbij mag ook de nodige bewijsvoering van hen worden verlangd. </w:t>
      </w:r>
      <w:r w:rsidR="00A74A49" w:rsidRPr="0051793A">
        <w:rPr>
          <w:rFonts w:ascii="Times New Roman" w:hAnsi="Times New Roman"/>
          <w:sz w:val="24"/>
        </w:rPr>
        <w:t xml:space="preserve">In de </w:t>
      </w:r>
      <w:r w:rsidR="00615819" w:rsidRPr="0051793A">
        <w:rPr>
          <w:rFonts w:ascii="Times New Roman" w:hAnsi="Times New Roman"/>
          <w:sz w:val="24"/>
        </w:rPr>
        <w:t xml:space="preserve">eerdergenoemde </w:t>
      </w:r>
      <w:r w:rsidR="00A74A49" w:rsidRPr="0051793A">
        <w:rPr>
          <w:rFonts w:ascii="Times New Roman" w:hAnsi="Times New Roman"/>
          <w:sz w:val="24"/>
        </w:rPr>
        <w:t>uitspraak van 28 oktober 2020 heeft de Afdeling bestuursrechtspraak zich ook uitgelaten over de bewijsvoering. “Voor een effectieve toepassing van de bepalingen die samenhangen met de zorgvuldigheidsverplichting en met het oog op de rechtszekerheid, acht de Afdeling bestuursrechtspraak het wenselijk een bewijsvermoeden te hanteren. Degene die voor de eerste maal hout of houtproducten op de interne markt heeft geleverd en daarmee marktdeelnemer wordt, wordt vermoed die hoedanigheid gedurende twee jaar te behouden. Het staat hem echter vrij het bewijs te leveren dat hij die hoedanigheid eerder heeft verloren, bijvoorbeeld door aannemelijk te maken dat de eerste levering een éénmalig of anderszins incidenteel karakter had”.</w:t>
      </w:r>
      <w:r w:rsidR="00A74A49" w:rsidRPr="0051793A">
        <w:rPr>
          <w:rStyle w:val="Voetnootmarkering"/>
          <w:rFonts w:ascii="Times New Roman" w:hAnsi="Times New Roman"/>
          <w:sz w:val="24"/>
        </w:rPr>
        <w:footnoteReference w:id="7"/>
      </w:r>
      <w:r w:rsidR="00A03C5C" w:rsidRPr="0051793A">
        <w:rPr>
          <w:rFonts w:ascii="Times New Roman" w:hAnsi="Times New Roman"/>
          <w:sz w:val="24"/>
        </w:rPr>
        <w:t xml:space="preserve"> Deze </w:t>
      </w:r>
      <w:r w:rsidR="00615819" w:rsidRPr="0051793A">
        <w:rPr>
          <w:rFonts w:ascii="Times New Roman" w:hAnsi="Times New Roman"/>
          <w:sz w:val="24"/>
        </w:rPr>
        <w:t>‘</w:t>
      </w:r>
      <w:r w:rsidR="00A03C5C" w:rsidRPr="0051793A">
        <w:rPr>
          <w:rFonts w:ascii="Times New Roman" w:hAnsi="Times New Roman"/>
          <w:sz w:val="24"/>
        </w:rPr>
        <w:t>verplaatsing van de bewijslast</w:t>
      </w:r>
      <w:r w:rsidR="00615819" w:rsidRPr="0051793A">
        <w:rPr>
          <w:rFonts w:ascii="Times New Roman" w:hAnsi="Times New Roman"/>
          <w:sz w:val="24"/>
        </w:rPr>
        <w:t>’</w:t>
      </w:r>
      <w:r w:rsidR="00A03C5C" w:rsidRPr="0051793A">
        <w:rPr>
          <w:rFonts w:ascii="Times New Roman" w:hAnsi="Times New Roman"/>
          <w:sz w:val="24"/>
        </w:rPr>
        <w:t xml:space="preserve"> was ook bepleit door de advocaat-generaal </w:t>
      </w:r>
      <w:r w:rsidR="00615819" w:rsidRPr="0051793A">
        <w:rPr>
          <w:rFonts w:ascii="Times New Roman" w:hAnsi="Times New Roman"/>
          <w:sz w:val="24"/>
        </w:rPr>
        <w:t xml:space="preserve">bij de Afdeling bestuursrechtspraak in zijn conclusie </w:t>
      </w:r>
      <w:r w:rsidR="00A71186" w:rsidRPr="0051793A">
        <w:rPr>
          <w:rFonts w:ascii="Times New Roman" w:hAnsi="Times New Roman"/>
          <w:sz w:val="24"/>
        </w:rPr>
        <w:t>over dezelfde</w:t>
      </w:r>
      <w:r w:rsidR="00615819" w:rsidRPr="0051793A">
        <w:rPr>
          <w:rFonts w:ascii="Times New Roman" w:hAnsi="Times New Roman"/>
          <w:sz w:val="24"/>
        </w:rPr>
        <w:t xml:space="preserve"> zaak.</w:t>
      </w:r>
      <w:r w:rsidR="00615819" w:rsidRPr="0051793A">
        <w:rPr>
          <w:rStyle w:val="Voetnootmarkering"/>
          <w:rFonts w:ascii="Times New Roman" w:hAnsi="Times New Roman"/>
          <w:sz w:val="24"/>
        </w:rPr>
        <w:footnoteReference w:id="8"/>
      </w:r>
      <w:r w:rsidR="00615819" w:rsidRPr="0051793A">
        <w:rPr>
          <w:rFonts w:ascii="Times New Roman" w:hAnsi="Times New Roman"/>
          <w:sz w:val="24"/>
        </w:rPr>
        <w:t xml:space="preserve"> </w:t>
      </w:r>
    </w:p>
    <w:p w14:paraId="1BFEF26E" w14:textId="4B65E1CF" w:rsidR="007259B2" w:rsidRPr="0051793A" w:rsidRDefault="007259B2" w:rsidP="006A46C1">
      <w:pPr>
        <w:rPr>
          <w:rFonts w:ascii="Times New Roman" w:hAnsi="Times New Roman"/>
          <w:sz w:val="24"/>
        </w:rPr>
      </w:pPr>
    </w:p>
    <w:p w14:paraId="075132F2" w14:textId="00DD5530" w:rsidR="00A74A49" w:rsidRPr="0051793A" w:rsidRDefault="00BA45E8" w:rsidP="006A46C1">
      <w:pPr>
        <w:rPr>
          <w:rFonts w:ascii="Times New Roman" w:hAnsi="Times New Roman"/>
          <w:sz w:val="24"/>
        </w:rPr>
      </w:pPr>
      <w:r w:rsidRPr="0051793A">
        <w:rPr>
          <w:rFonts w:ascii="Times New Roman" w:hAnsi="Times New Roman"/>
          <w:sz w:val="24"/>
        </w:rPr>
        <w:lastRenderedPageBreak/>
        <w:t>Naar aanleiding van</w:t>
      </w:r>
      <w:r w:rsidR="00E333C7" w:rsidRPr="0051793A">
        <w:rPr>
          <w:rFonts w:ascii="Times New Roman" w:hAnsi="Times New Roman"/>
          <w:sz w:val="24"/>
        </w:rPr>
        <w:t xml:space="preserve"> </w:t>
      </w:r>
      <w:r w:rsidRPr="0051793A">
        <w:rPr>
          <w:rFonts w:ascii="Times New Roman" w:hAnsi="Times New Roman"/>
          <w:sz w:val="24"/>
        </w:rPr>
        <w:t>het advies van de Afdeling advisering hebben</w:t>
      </w:r>
      <w:r w:rsidR="00E333C7" w:rsidRPr="0051793A">
        <w:rPr>
          <w:rFonts w:ascii="Times New Roman" w:hAnsi="Times New Roman"/>
          <w:sz w:val="24"/>
        </w:rPr>
        <w:t xml:space="preserve"> initiatiefnemers besloten de civielrechtelijke handhaving te versterken door aanvullende bepalingen daarvoor op te nemen in artikel 3.2.6. Daarmee komen ze ook tegemoet aan de aanbevelingen van het College voor de </w:t>
      </w:r>
      <w:r w:rsidRPr="0051793A">
        <w:rPr>
          <w:rFonts w:ascii="Times New Roman" w:hAnsi="Times New Roman"/>
          <w:sz w:val="24"/>
        </w:rPr>
        <w:t>R</w:t>
      </w:r>
      <w:r w:rsidR="00E333C7" w:rsidRPr="0051793A">
        <w:rPr>
          <w:rFonts w:ascii="Times New Roman" w:hAnsi="Times New Roman"/>
          <w:sz w:val="24"/>
        </w:rPr>
        <w:t>echten van de</w:t>
      </w:r>
      <w:r w:rsidRPr="0051793A">
        <w:rPr>
          <w:rFonts w:ascii="Times New Roman" w:hAnsi="Times New Roman"/>
          <w:sz w:val="24"/>
        </w:rPr>
        <w:t xml:space="preserve"> M</w:t>
      </w:r>
      <w:r w:rsidR="00E333C7" w:rsidRPr="0051793A">
        <w:rPr>
          <w:rFonts w:ascii="Times New Roman" w:hAnsi="Times New Roman"/>
          <w:sz w:val="24"/>
        </w:rPr>
        <w:t>ens</w:t>
      </w:r>
      <w:r w:rsidRPr="0051793A">
        <w:rPr>
          <w:rFonts w:ascii="Times New Roman" w:hAnsi="Times New Roman"/>
          <w:sz w:val="24"/>
        </w:rPr>
        <w:t xml:space="preserve"> om juridische barrières weg te nemen en de rechten op effectief rechtsherstel te versterken bij inbreuken op mensenrechten door bedrijfsactiviteiten. Gedacht kan hierbij worden aan de bevoegdheid van Nederlandse rechters om zich uit te spreken over schendingen die hebben plaatsgevonden in het buitenland, maar ook over de ontvankelijkheid van belangenorganisaties. Ook het gebrek aan toegang tot informatie en de bewijspositie bleek een belangrijke barrière voor rechtsherstel.</w:t>
      </w:r>
      <w:r w:rsidRPr="0051793A">
        <w:rPr>
          <w:rStyle w:val="Voetnootmarkering"/>
          <w:bCs/>
          <w:szCs w:val="20"/>
        </w:rPr>
        <w:footnoteReference w:id="9"/>
      </w:r>
      <w:r w:rsidRPr="0051793A">
        <w:rPr>
          <w:rFonts w:ascii="Times New Roman" w:hAnsi="Times New Roman"/>
          <w:sz w:val="24"/>
        </w:rPr>
        <w:t xml:space="preserve">  </w:t>
      </w:r>
    </w:p>
    <w:p w14:paraId="190E106F" w14:textId="77777777" w:rsidR="000D29B3" w:rsidRPr="000D29B3" w:rsidRDefault="000D29B3" w:rsidP="000D29B3">
      <w:pPr>
        <w:rPr>
          <w:rFonts w:ascii="Times New Roman" w:hAnsi="Times New Roman"/>
          <w:sz w:val="24"/>
        </w:rPr>
      </w:pPr>
      <w:r w:rsidRPr="000D29B3">
        <w:rPr>
          <w:rFonts w:ascii="Times New Roman" w:hAnsi="Times New Roman"/>
          <w:sz w:val="24"/>
        </w:rPr>
        <w:t> </w:t>
      </w:r>
    </w:p>
    <w:p w14:paraId="4B993F0D" w14:textId="77777777" w:rsidR="000D29B3" w:rsidRPr="00091691" w:rsidRDefault="000D29B3" w:rsidP="000D29B3">
      <w:pPr>
        <w:rPr>
          <w:rFonts w:ascii="Times New Roman" w:hAnsi="Times New Roman"/>
          <w:i/>
          <w:sz w:val="24"/>
        </w:rPr>
      </w:pPr>
      <w:r w:rsidRPr="00091691">
        <w:rPr>
          <w:rFonts w:ascii="Times New Roman" w:hAnsi="Times New Roman"/>
          <w:i/>
          <w:sz w:val="24"/>
        </w:rPr>
        <w:t xml:space="preserve">d. </w:t>
      </w:r>
      <w:r w:rsidRPr="00091691">
        <w:rPr>
          <w:rFonts w:ascii="Times New Roman" w:hAnsi="Times New Roman"/>
          <w:i/>
          <w:sz w:val="24"/>
        </w:rPr>
        <w:tab/>
        <w:t>Stafrechtelijke handhaving: lex certa</w:t>
      </w:r>
    </w:p>
    <w:p w14:paraId="5114AF90" w14:textId="77777777" w:rsidR="000D29B3" w:rsidRPr="00091691" w:rsidRDefault="000D29B3" w:rsidP="000D29B3">
      <w:pPr>
        <w:rPr>
          <w:rFonts w:ascii="Times New Roman" w:hAnsi="Times New Roman"/>
          <w:i/>
          <w:sz w:val="24"/>
        </w:rPr>
      </w:pPr>
      <w:r w:rsidRPr="00091691">
        <w:rPr>
          <w:rFonts w:ascii="Times New Roman" w:hAnsi="Times New Roman"/>
          <w:i/>
          <w:sz w:val="24"/>
        </w:rPr>
        <w:t xml:space="preserve">Ten aanzien van de mogelijkheid van strafrechtelijke handhaving geldt daarnaast dat de voorgestelde strafbaarstelling moet voldoen aan het strafrechtelijke legaliteitsbeginsel.  Daaruit vloeit voort dat een strafbepaling zo duidelijk mogelijk moet zijn (lex certa-beginsel of ‘bepaaldheidsgebod’). Het moet voorzienbaar zijn welke gedragingen leiden tot het opleggen van een straf en welke niet. Een zekere vaagheid betekent echter niet altijd dat sprake is van strijd met het lex certa-beginsel. Ook kan de toelichting op een bepaling en eerdere rechtspraak worden betrokken bij het uitleggen van een bepaling. Van professionele partijen, zoals grote ondernemingen, mag worden verwacht dat zij zich goed laten voorlichten. Voor een onderneming moet echter wel voldoende duidelijk zijn welk gedrag verboden is, zodat zij zich daarnaar kan gedragen. </w:t>
      </w:r>
    </w:p>
    <w:p w14:paraId="219FF8FD" w14:textId="77777777" w:rsidR="000D29B3" w:rsidRPr="00091691" w:rsidRDefault="000D29B3" w:rsidP="000D29B3">
      <w:pPr>
        <w:rPr>
          <w:rFonts w:ascii="Times New Roman" w:hAnsi="Times New Roman"/>
          <w:i/>
          <w:sz w:val="24"/>
        </w:rPr>
      </w:pPr>
    </w:p>
    <w:p w14:paraId="111FB4F1" w14:textId="77777777" w:rsidR="000D29B3" w:rsidRPr="00091691" w:rsidRDefault="000D29B3" w:rsidP="000D29B3">
      <w:pPr>
        <w:rPr>
          <w:rFonts w:ascii="Times New Roman" w:hAnsi="Times New Roman"/>
          <w:i/>
          <w:sz w:val="24"/>
        </w:rPr>
      </w:pPr>
      <w:r w:rsidRPr="00091691">
        <w:rPr>
          <w:rFonts w:ascii="Times New Roman" w:hAnsi="Times New Roman"/>
          <w:i/>
          <w:sz w:val="24"/>
        </w:rPr>
        <w:t xml:space="preserve">De voorgestelde strafbepaling veronderstelt dat de toezichthouder eerst tweemaal bestuursrechtelijk heeft ingegrepen bij overtreding van de betreffende bepaling(en). Onduidelijk is evenwel of de bestuursrechtelijke handhaving betrekking moet hebben gehad op dezelfde gedraging. De tekst van de voorgestelde bepaling die de onderneming verplicht eigen activiteiten te beëindigen is zo ruim geformuleerd dat zeer verschillende feitencomplexen als ‘nadelig gevolg’ kunnen worden gekwalificeerd.  Deze bepaling is ook op zichzelf niet voldoende duidelijk om strafrechtelijk te handhaven, aangezien het begrip ‘nadelige gevolgen’ onvoldoende is geconcretiseerd. Dat werkt door in de - eveneens strafrechtelijk te handhaven - bepaling dat een onderneming in overtreding is van de gepaste zorgvuldigheidsverplichting als haar activiteit of haar bijdrage aan een nadelig gevolg niet is beëindigd of de betrokkene geen herstel heeft gekregen.  </w:t>
      </w:r>
    </w:p>
    <w:p w14:paraId="086D296B" w14:textId="77777777" w:rsidR="000D29B3" w:rsidRPr="00091691" w:rsidRDefault="000D29B3" w:rsidP="000D29B3">
      <w:pPr>
        <w:rPr>
          <w:rFonts w:ascii="Times New Roman" w:hAnsi="Times New Roman"/>
          <w:i/>
          <w:sz w:val="24"/>
        </w:rPr>
      </w:pPr>
    </w:p>
    <w:p w14:paraId="5EDA9342" w14:textId="0D81793C" w:rsidR="000D29B3" w:rsidRPr="00761225" w:rsidRDefault="000D29B3" w:rsidP="000D29B3">
      <w:pPr>
        <w:rPr>
          <w:rFonts w:ascii="Times New Roman" w:hAnsi="Times New Roman"/>
          <w:i/>
          <w:sz w:val="24"/>
        </w:rPr>
      </w:pPr>
      <w:r w:rsidRPr="00091691">
        <w:rPr>
          <w:rFonts w:ascii="Times New Roman" w:hAnsi="Times New Roman"/>
          <w:i/>
          <w:sz w:val="24"/>
        </w:rPr>
        <w:t xml:space="preserve">De Afdeling merkt op dat uit het voorstel niet kan worden afgeleid hoe het voor een betrokken onderneming vooraf duidelijk is wanneer zij aan de genoemde verplichtingen voldoet. De toelichting verwijst voor een uitwerking van de genoemde normen naar internationale verdragen, de UN Guiding Principles, OESO-richtlijnen en ILO-conventies en de daarop gebaseerde jurisprudentie. Deze bepalingen zijn echter veelal te onbepaald om voldoende te verduidelijken wat een onderneming precies moet doen om gepast zorgvuldig te handelen. Het voorstel stipuleert niet aan welke (voldoende specifieke) bepalingen in deze internationale </w:t>
      </w:r>
      <w:r w:rsidRPr="00761225">
        <w:rPr>
          <w:rFonts w:ascii="Times New Roman" w:hAnsi="Times New Roman"/>
          <w:i/>
          <w:sz w:val="24"/>
        </w:rPr>
        <w:t xml:space="preserve">instrumenten een </w:t>
      </w:r>
      <w:r w:rsidR="00C06636">
        <w:rPr>
          <w:rFonts w:ascii="Times New Roman" w:hAnsi="Times New Roman"/>
          <w:i/>
          <w:sz w:val="24"/>
        </w:rPr>
        <w:t>onderneming</w:t>
      </w:r>
      <w:r w:rsidRPr="00761225">
        <w:rPr>
          <w:rFonts w:ascii="Times New Roman" w:hAnsi="Times New Roman"/>
          <w:i/>
          <w:sz w:val="24"/>
        </w:rPr>
        <w:t xml:space="preserve"> dient te voldoen. Strafrechtelijk ingrijpen komt derhalve in strijd met het voorzienbaarheidscriterium.  Daarenboven betreft een van de op te leggen sancties een celstraf. Aangezien de normadressaat de onderneming is, is niet op voorhand duidelijk, aan wie een eventuele celstraf moet worden opgelegd. Op de genoemde punten schiet het wetsvoorstel tekort en staat het op gespannen voet met het lex certa-beginsel. </w:t>
      </w:r>
    </w:p>
    <w:p w14:paraId="02503D52" w14:textId="77777777" w:rsidR="000D29B3" w:rsidRPr="00761225" w:rsidRDefault="000D29B3" w:rsidP="000D29B3">
      <w:pPr>
        <w:rPr>
          <w:rFonts w:ascii="Times New Roman" w:hAnsi="Times New Roman"/>
          <w:sz w:val="24"/>
        </w:rPr>
      </w:pPr>
    </w:p>
    <w:p w14:paraId="5B4D2D4F" w14:textId="77777777" w:rsidR="00091691" w:rsidRPr="0051793A" w:rsidRDefault="00091691" w:rsidP="00091691">
      <w:pPr>
        <w:rPr>
          <w:rFonts w:ascii="Times New Roman" w:hAnsi="Times New Roman"/>
          <w:b/>
          <w:sz w:val="24"/>
        </w:rPr>
      </w:pPr>
      <w:r w:rsidRPr="0051793A">
        <w:rPr>
          <w:rFonts w:ascii="Times New Roman" w:hAnsi="Times New Roman"/>
          <w:b/>
          <w:sz w:val="24"/>
        </w:rPr>
        <w:t xml:space="preserve">Reactie: </w:t>
      </w:r>
    </w:p>
    <w:p w14:paraId="297B20EB" w14:textId="75706C82" w:rsidR="00856EDD" w:rsidRPr="0051793A" w:rsidRDefault="00856EDD" w:rsidP="00856EDD">
      <w:pPr>
        <w:rPr>
          <w:rFonts w:ascii="Times New Roman" w:hAnsi="Times New Roman"/>
          <w:sz w:val="24"/>
        </w:rPr>
      </w:pPr>
    </w:p>
    <w:p w14:paraId="2F209BF9" w14:textId="7EECFBC8" w:rsidR="002C0577" w:rsidRPr="0051793A" w:rsidRDefault="00553231" w:rsidP="00B97CF7">
      <w:pPr>
        <w:rPr>
          <w:rFonts w:ascii="Times New Roman" w:hAnsi="Times New Roman"/>
          <w:bCs/>
          <w:sz w:val="24"/>
        </w:rPr>
      </w:pPr>
      <w:r w:rsidRPr="0051793A">
        <w:rPr>
          <w:rFonts w:ascii="Times New Roman" w:hAnsi="Times New Roman"/>
          <w:bCs/>
          <w:sz w:val="24"/>
        </w:rPr>
        <w:t xml:space="preserve">De initiatiefnemers erkennen dat het </w:t>
      </w:r>
      <w:r w:rsidR="001B553F" w:rsidRPr="0051793A">
        <w:rPr>
          <w:rFonts w:ascii="Times New Roman" w:hAnsi="Times New Roman"/>
          <w:bCs/>
          <w:sz w:val="24"/>
        </w:rPr>
        <w:t>l</w:t>
      </w:r>
      <w:r w:rsidRPr="0051793A">
        <w:rPr>
          <w:rFonts w:ascii="Times New Roman" w:hAnsi="Times New Roman"/>
          <w:bCs/>
          <w:sz w:val="24"/>
        </w:rPr>
        <w:t xml:space="preserve">ex </w:t>
      </w:r>
      <w:r w:rsidR="001B553F" w:rsidRPr="0051793A">
        <w:rPr>
          <w:rFonts w:ascii="Times New Roman" w:hAnsi="Times New Roman"/>
          <w:bCs/>
          <w:sz w:val="24"/>
        </w:rPr>
        <w:t>c</w:t>
      </w:r>
      <w:r w:rsidRPr="0051793A">
        <w:rPr>
          <w:rFonts w:ascii="Times New Roman" w:hAnsi="Times New Roman"/>
          <w:bCs/>
          <w:sz w:val="24"/>
        </w:rPr>
        <w:t xml:space="preserve">erta-beginsel in dit stadium van de invoering van de verplichtingen </w:t>
      </w:r>
      <w:r w:rsidR="00B64DD2" w:rsidRPr="0051793A">
        <w:rPr>
          <w:rFonts w:ascii="Times New Roman" w:hAnsi="Times New Roman"/>
          <w:bCs/>
          <w:sz w:val="24"/>
        </w:rPr>
        <w:t xml:space="preserve">voor </w:t>
      </w:r>
      <w:r w:rsidR="00B33130" w:rsidRPr="0051793A">
        <w:rPr>
          <w:rFonts w:ascii="Times New Roman" w:hAnsi="Times New Roman"/>
          <w:bCs/>
          <w:sz w:val="24"/>
        </w:rPr>
        <w:t xml:space="preserve">gepaste zorgvuldigheid </w:t>
      </w:r>
      <w:r w:rsidRPr="0051793A">
        <w:rPr>
          <w:rFonts w:ascii="Times New Roman" w:hAnsi="Times New Roman"/>
          <w:bCs/>
          <w:sz w:val="24"/>
        </w:rPr>
        <w:t xml:space="preserve">strafrechtelijke handhaving bemoeilijkt. Zij hebben daarom in reactie op het advies van de </w:t>
      </w:r>
      <w:r w:rsidR="007E5852" w:rsidRPr="0051793A">
        <w:rPr>
          <w:rFonts w:ascii="Times New Roman" w:hAnsi="Times New Roman"/>
          <w:bCs/>
          <w:sz w:val="24"/>
        </w:rPr>
        <w:t>Afdeling</w:t>
      </w:r>
      <w:r w:rsidRPr="0051793A">
        <w:rPr>
          <w:rFonts w:ascii="Times New Roman" w:hAnsi="Times New Roman"/>
          <w:bCs/>
          <w:sz w:val="24"/>
        </w:rPr>
        <w:t xml:space="preserve"> besloten </w:t>
      </w:r>
      <w:r w:rsidR="008835BE" w:rsidRPr="0051793A">
        <w:rPr>
          <w:rFonts w:ascii="Times New Roman" w:hAnsi="Times New Roman"/>
          <w:bCs/>
          <w:sz w:val="24"/>
        </w:rPr>
        <w:t xml:space="preserve">artikel 3.6 </w:t>
      </w:r>
      <w:r w:rsidR="002930CE" w:rsidRPr="0051793A">
        <w:rPr>
          <w:rFonts w:ascii="Times New Roman" w:hAnsi="Times New Roman"/>
          <w:bCs/>
          <w:sz w:val="24"/>
        </w:rPr>
        <w:t>(in de aangepaste versie van het wetsvoorstel artikel 3.</w:t>
      </w:r>
      <w:r w:rsidR="00B64DD2" w:rsidRPr="0051793A">
        <w:rPr>
          <w:rFonts w:ascii="Times New Roman" w:hAnsi="Times New Roman"/>
          <w:bCs/>
          <w:sz w:val="24"/>
        </w:rPr>
        <w:t>2.</w:t>
      </w:r>
      <w:r w:rsidR="002930CE" w:rsidRPr="0051793A">
        <w:rPr>
          <w:rFonts w:ascii="Times New Roman" w:hAnsi="Times New Roman"/>
          <w:bCs/>
          <w:sz w:val="24"/>
        </w:rPr>
        <w:t xml:space="preserve">5) </w:t>
      </w:r>
      <w:r w:rsidR="008835BE" w:rsidRPr="0051793A">
        <w:rPr>
          <w:rFonts w:ascii="Times New Roman" w:hAnsi="Times New Roman"/>
          <w:bCs/>
          <w:sz w:val="24"/>
        </w:rPr>
        <w:t xml:space="preserve">aan te passen. </w:t>
      </w:r>
      <w:r w:rsidR="002930CE" w:rsidRPr="0051793A">
        <w:rPr>
          <w:rFonts w:ascii="Times New Roman" w:hAnsi="Times New Roman"/>
          <w:bCs/>
          <w:sz w:val="24"/>
        </w:rPr>
        <w:t>In dit artikel wordt artikel 1, onder 4, van de Wet op de economische delicten (Wed) gewijzigd. In dat onderdeel van de Wed wordt nu artikel 2.6.1 van de Wet verantwoord en duurzaam internationaal ondernemen toegevoegd</w:t>
      </w:r>
      <w:r w:rsidR="00D60C7A" w:rsidRPr="0051793A">
        <w:rPr>
          <w:rFonts w:ascii="Times New Roman" w:hAnsi="Times New Roman"/>
          <w:bCs/>
          <w:sz w:val="24"/>
        </w:rPr>
        <w:t>.</w:t>
      </w:r>
      <w:r w:rsidR="002930CE" w:rsidRPr="0051793A">
        <w:rPr>
          <w:rFonts w:ascii="Times New Roman" w:hAnsi="Times New Roman"/>
          <w:bCs/>
          <w:sz w:val="24"/>
        </w:rPr>
        <w:t xml:space="preserve"> </w:t>
      </w:r>
      <w:r w:rsidR="00D60C7A" w:rsidRPr="0051793A">
        <w:rPr>
          <w:rFonts w:ascii="Times New Roman" w:hAnsi="Times New Roman"/>
          <w:bCs/>
          <w:sz w:val="24"/>
        </w:rPr>
        <w:t>Hiermee wordt</w:t>
      </w:r>
      <w:r w:rsidR="002930CE" w:rsidRPr="0051793A">
        <w:rPr>
          <w:rFonts w:ascii="Times New Roman" w:hAnsi="Times New Roman"/>
          <w:bCs/>
          <w:sz w:val="24"/>
        </w:rPr>
        <w:t xml:space="preserve"> alleen de niet-naleving van de rapportageverplichting aangemerkt als een economisch delict. </w:t>
      </w:r>
      <w:r w:rsidR="00E27026" w:rsidRPr="0051793A">
        <w:rPr>
          <w:rFonts w:ascii="Times New Roman" w:hAnsi="Times New Roman"/>
          <w:bCs/>
          <w:sz w:val="24"/>
        </w:rPr>
        <w:t>Hier</w:t>
      </w:r>
      <w:r w:rsidR="00BA45E8" w:rsidRPr="0051793A">
        <w:rPr>
          <w:rFonts w:ascii="Times New Roman" w:hAnsi="Times New Roman"/>
          <w:bCs/>
          <w:sz w:val="24"/>
        </w:rPr>
        <w:t>voor</w:t>
      </w:r>
      <w:r w:rsidR="00E27026" w:rsidRPr="0051793A">
        <w:rPr>
          <w:rFonts w:ascii="Times New Roman" w:hAnsi="Times New Roman"/>
          <w:bCs/>
          <w:sz w:val="24"/>
        </w:rPr>
        <w:t xml:space="preserve"> is gekozen</w:t>
      </w:r>
      <w:r w:rsidR="00BA45E8" w:rsidRPr="0051793A">
        <w:rPr>
          <w:rFonts w:ascii="Times New Roman" w:hAnsi="Times New Roman"/>
          <w:bCs/>
          <w:sz w:val="24"/>
        </w:rPr>
        <w:t>,</w:t>
      </w:r>
      <w:r w:rsidR="00E27026" w:rsidRPr="0051793A">
        <w:rPr>
          <w:rFonts w:ascii="Times New Roman" w:hAnsi="Times New Roman"/>
          <w:bCs/>
          <w:sz w:val="24"/>
        </w:rPr>
        <w:t xml:space="preserve"> omdat de rapportageverplichting de meest eenduidige norm in het wetsvoorstel is, waarbij niet snel misverstand kan ontstaan over de vraag of de bepaling is nageleefd of niet.</w:t>
      </w:r>
      <w:r w:rsidR="00DF756A" w:rsidRPr="0051793A">
        <w:rPr>
          <w:rFonts w:ascii="Times New Roman" w:hAnsi="Times New Roman"/>
          <w:bCs/>
          <w:sz w:val="24"/>
        </w:rPr>
        <w:t xml:space="preserve"> Bovendien wordt hierdoor aangesloten bij de </w:t>
      </w:r>
      <w:r w:rsidR="00524408" w:rsidRPr="0051793A">
        <w:rPr>
          <w:rFonts w:ascii="Times New Roman" w:hAnsi="Times New Roman"/>
          <w:bCs/>
          <w:sz w:val="24"/>
        </w:rPr>
        <w:t xml:space="preserve">al bestaande </w:t>
      </w:r>
      <w:r w:rsidR="00DF756A" w:rsidRPr="0051793A">
        <w:rPr>
          <w:rFonts w:ascii="Times New Roman" w:hAnsi="Times New Roman"/>
          <w:bCs/>
          <w:sz w:val="24"/>
        </w:rPr>
        <w:t xml:space="preserve">strafbaarstelling van niet-naleving van de publicatieverplichtingen op grond van de </w:t>
      </w:r>
      <w:r w:rsidR="00B64DD2" w:rsidRPr="0051793A">
        <w:rPr>
          <w:rFonts w:ascii="Times New Roman" w:hAnsi="Times New Roman"/>
          <w:bCs/>
          <w:sz w:val="24"/>
        </w:rPr>
        <w:t xml:space="preserve">richtlijn </w:t>
      </w:r>
      <w:r w:rsidR="00DF756A" w:rsidRPr="0051793A">
        <w:rPr>
          <w:rFonts w:ascii="Times New Roman" w:hAnsi="Times New Roman"/>
          <w:bCs/>
          <w:sz w:val="24"/>
        </w:rPr>
        <w:t xml:space="preserve">jaarrekening. In artikel 1, onder 4, van de Wed, is eerder ook artikel 2:392a van het Burgerlijk Wetboek opgenomen. </w:t>
      </w:r>
      <w:r w:rsidR="00D60C7A" w:rsidRPr="0051793A">
        <w:rPr>
          <w:rFonts w:ascii="Times New Roman" w:hAnsi="Times New Roman"/>
          <w:bCs/>
          <w:sz w:val="24"/>
        </w:rPr>
        <w:t xml:space="preserve"> Op deze manier wordt </w:t>
      </w:r>
      <w:r w:rsidR="00524408" w:rsidRPr="0051793A">
        <w:rPr>
          <w:rFonts w:ascii="Times New Roman" w:hAnsi="Times New Roman"/>
          <w:bCs/>
          <w:sz w:val="24"/>
        </w:rPr>
        <w:t xml:space="preserve">naar het oordeel van de initiatiefnemers </w:t>
      </w:r>
      <w:r w:rsidR="00FD4BBE" w:rsidRPr="0051793A">
        <w:rPr>
          <w:rFonts w:ascii="Times New Roman" w:hAnsi="Times New Roman"/>
          <w:bCs/>
          <w:sz w:val="24"/>
        </w:rPr>
        <w:t>de strijdigheid met het</w:t>
      </w:r>
      <w:r w:rsidR="00D60C7A" w:rsidRPr="0051793A">
        <w:rPr>
          <w:rFonts w:ascii="Times New Roman" w:hAnsi="Times New Roman"/>
          <w:bCs/>
          <w:sz w:val="24"/>
        </w:rPr>
        <w:t xml:space="preserve"> </w:t>
      </w:r>
      <w:r w:rsidR="001B553F" w:rsidRPr="0051793A">
        <w:rPr>
          <w:rFonts w:ascii="Times New Roman" w:hAnsi="Times New Roman"/>
          <w:bCs/>
          <w:sz w:val="24"/>
        </w:rPr>
        <w:t>l</w:t>
      </w:r>
      <w:r w:rsidR="00D60C7A" w:rsidRPr="0051793A">
        <w:rPr>
          <w:rFonts w:ascii="Times New Roman" w:hAnsi="Times New Roman"/>
          <w:bCs/>
          <w:sz w:val="24"/>
        </w:rPr>
        <w:t xml:space="preserve">ex </w:t>
      </w:r>
      <w:r w:rsidR="001B553F" w:rsidRPr="0051793A">
        <w:rPr>
          <w:rFonts w:ascii="Times New Roman" w:hAnsi="Times New Roman"/>
          <w:bCs/>
          <w:sz w:val="24"/>
        </w:rPr>
        <w:t>c</w:t>
      </w:r>
      <w:r w:rsidR="00D60C7A" w:rsidRPr="0051793A">
        <w:rPr>
          <w:rFonts w:ascii="Times New Roman" w:hAnsi="Times New Roman"/>
          <w:bCs/>
          <w:sz w:val="24"/>
        </w:rPr>
        <w:t xml:space="preserve">erta-beginsel </w:t>
      </w:r>
      <w:r w:rsidR="001B553F" w:rsidRPr="0051793A">
        <w:rPr>
          <w:rFonts w:ascii="Times New Roman" w:hAnsi="Times New Roman"/>
          <w:bCs/>
          <w:sz w:val="24"/>
        </w:rPr>
        <w:t>voorkomen</w:t>
      </w:r>
      <w:r w:rsidR="00D60C7A" w:rsidRPr="0051793A">
        <w:rPr>
          <w:rFonts w:ascii="Times New Roman" w:hAnsi="Times New Roman"/>
          <w:bCs/>
          <w:sz w:val="24"/>
        </w:rPr>
        <w:t>.</w:t>
      </w:r>
    </w:p>
    <w:p w14:paraId="4F4093E8" w14:textId="7B771DC5" w:rsidR="004D79EB" w:rsidRPr="0051793A" w:rsidRDefault="004D79EB" w:rsidP="00B97CF7">
      <w:pPr>
        <w:rPr>
          <w:rFonts w:ascii="Times New Roman" w:hAnsi="Times New Roman"/>
          <w:bCs/>
          <w:sz w:val="24"/>
        </w:rPr>
      </w:pPr>
    </w:p>
    <w:p w14:paraId="14B92B58" w14:textId="77777777" w:rsidR="004D79EB" w:rsidRPr="0051793A" w:rsidRDefault="004D79EB" w:rsidP="004D79EB">
      <w:pPr>
        <w:rPr>
          <w:rFonts w:ascii="Times New Roman" w:hAnsi="Times New Roman"/>
          <w:bCs/>
          <w:sz w:val="24"/>
        </w:rPr>
      </w:pPr>
      <w:r w:rsidRPr="0051793A">
        <w:rPr>
          <w:rFonts w:ascii="Times New Roman" w:hAnsi="Times New Roman"/>
          <w:bCs/>
          <w:sz w:val="24"/>
        </w:rPr>
        <w:t>Voor het antwoord op de vraag van de Afdeling advisering van de Raad van State over het opleggen van een celstraf aan een onderneming, wijzen de initiatiefnemers op artikel 51, eerste en tweede lid, van het Wetboek van Strafrecht. Op grond van deze artikelleden kunnen strafbare feiten worden begaan door natuurlijke personen en rechtspersonen. Als een strafbaar feit wordt begaan door een rechtspersoon, kan de strafvervolging worden ingesteld en kunnen de in de wet voorziene straffen en maatregelen, als zij daarvoor in aanmerking komen, worden uitgesproken tegen:</w:t>
      </w:r>
    </w:p>
    <w:p w14:paraId="1EC08D50" w14:textId="77777777" w:rsidR="004D79EB" w:rsidRPr="0051793A" w:rsidRDefault="004D79EB" w:rsidP="004D79EB">
      <w:pPr>
        <w:rPr>
          <w:rFonts w:ascii="Times New Roman" w:hAnsi="Times New Roman"/>
          <w:bCs/>
          <w:sz w:val="24"/>
        </w:rPr>
      </w:pPr>
      <w:r w:rsidRPr="0051793A">
        <w:rPr>
          <w:rFonts w:ascii="Times New Roman" w:hAnsi="Times New Roman"/>
          <w:bCs/>
          <w:sz w:val="24"/>
        </w:rPr>
        <w:t>- die rechtspersoon, dan wel</w:t>
      </w:r>
    </w:p>
    <w:p w14:paraId="5BF9EE55" w14:textId="77777777" w:rsidR="004D79EB" w:rsidRPr="0051793A" w:rsidRDefault="004D79EB" w:rsidP="004D79EB">
      <w:pPr>
        <w:rPr>
          <w:rFonts w:ascii="Times New Roman" w:hAnsi="Times New Roman"/>
          <w:bCs/>
          <w:sz w:val="24"/>
        </w:rPr>
      </w:pPr>
      <w:r w:rsidRPr="0051793A">
        <w:rPr>
          <w:rFonts w:ascii="Times New Roman" w:hAnsi="Times New Roman"/>
          <w:bCs/>
          <w:sz w:val="24"/>
        </w:rPr>
        <w:t xml:space="preserve">- hen die tot het feit opdracht hebben gegeven, alsmede hen die feitelijke leiding hebben gegeven aan de verboden gedraging, of </w:t>
      </w:r>
    </w:p>
    <w:p w14:paraId="23BDFD63" w14:textId="1E391C88" w:rsidR="004D79EB" w:rsidRPr="0051793A" w:rsidRDefault="004D79EB" w:rsidP="004D79EB">
      <w:pPr>
        <w:rPr>
          <w:rFonts w:ascii="Times New Roman" w:hAnsi="Times New Roman"/>
          <w:bCs/>
          <w:sz w:val="24"/>
        </w:rPr>
      </w:pPr>
      <w:r w:rsidRPr="0051793A">
        <w:rPr>
          <w:rFonts w:ascii="Times New Roman" w:hAnsi="Times New Roman"/>
          <w:bCs/>
          <w:sz w:val="24"/>
        </w:rPr>
        <w:t>- tegen deze genoemden tezamen. Omdat dit al is geregeld in artikel 51 van het Wetboek van Strafrecht hoeft dit geen afzonderlijke regeling meer in deze wet.</w:t>
      </w:r>
    </w:p>
    <w:p w14:paraId="59B65A8F" w14:textId="77777777" w:rsidR="00856EDD" w:rsidRPr="0051793A" w:rsidRDefault="00856EDD" w:rsidP="00B97CF7">
      <w:pPr>
        <w:rPr>
          <w:rFonts w:ascii="Times New Roman" w:hAnsi="Times New Roman"/>
          <w:b/>
          <w:sz w:val="24"/>
        </w:rPr>
      </w:pPr>
    </w:p>
    <w:p w14:paraId="2CB5F956" w14:textId="77777777" w:rsidR="000D29B3" w:rsidRPr="0051793A" w:rsidRDefault="000D29B3" w:rsidP="000D29B3">
      <w:pPr>
        <w:rPr>
          <w:rFonts w:ascii="Times New Roman" w:hAnsi="Times New Roman"/>
          <w:i/>
          <w:sz w:val="24"/>
        </w:rPr>
      </w:pPr>
      <w:r w:rsidRPr="0051793A">
        <w:rPr>
          <w:rFonts w:ascii="Times New Roman" w:hAnsi="Times New Roman"/>
          <w:i/>
          <w:sz w:val="24"/>
        </w:rPr>
        <w:t>e.</w:t>
      </w:r>
      <w:r w:rsidRPr="0051793A">
        <w:rPr>
          <w:rFonts w:ascii="Times New Roman" w:hAnsi="Times New Roman"/>
          <w:i/>
          <w:sz w:val="24"/>
        </w:rPr>
        <w:tab/>
        <w:t>Conclusie</w:t>
      </w:r>
    </w:p>
    <w:p w14:paraId="5C2B1169" w14:textId="77777777" w:rsidR="000D29B3" w:rsidRPr="00761225" w:rsidRDefault="000D29B3" w:rsidP="000D29B3">
      <w:pPr>
        <w:rPr>
          <w:rFonts w:ascii="Times New Roman" w:hAnsi="Times New Roman"/>
          <w:i/>
          <w:sz w:val="24"/>
        </w:rPr>
      </w:pPr>
      <w:r w:rsidRPr="00761225">
        <w:rPr>
          <w:rFonts w:ascii="Times New Roman" w:hAnsi="Times New Roman"/>
          <w:i/>
          <w:sz w:val="24"/>
        </w:rPr>
        <w:t xml:space="preserve">De Afdeling heeft oog voor de maatschappelijke en politieke, Europese en internationale ontwikkelingen in de richting van meer verplichtende maatregelen op het terrein van internationaal maatschappelijk verantwoord en duurzaam ondernemen. De Afdeling beoordeelt de onderhavige vorm van het voorstel met zijn combinatie van open normstelling, ruime reikwijdte en uitgebreid bestuursrechtelijk en strafrechtelijk handhavingsmechanisme echter als onverantwoord. Het voorstel is strijdig met de beginselen van rechtszekerheid en evenredigheid. Mede daardoor bevat het voorstel ernstige tekortkomingen op het gebied van uitvoerbaarheid en handhaafbaarheid.  Bovendien staat de voorgestelde strafrechtelijke handhaving op gespannen voet met het lex certa-beginsel. </w:t>
      </w:r>
    </w:p>
    <w:p w14:paraId="7B47D9AF" w14:textId="77777777" w:rsidR="000D29B3" w:rsidRPr="00761225" w:rsidRDefault="000D29B3" w:rsidP="000D29B3">
      <w:pPr>
        <w:rPr>
          <w:rFonts w:ascii="Times New Roman" w:hAnsi="Times New Roman"/>
          <w:i/>
          <w:sz w:val="24"/>
        </w:rPr>
      </w:pPr>
    </w:p>
    <w:p w14:paraId="0E770809" w14:textId="77777777" w:rsidR="00091691" w:rsidRPr="00761225" w:rsidRDefault="000D29B3" w:rsidP="00091691">
      <w:pPr>
        <w:rPr>
          <w:rFonts w:ascii="Times New Roman" w:hAnsi="Times New Roman"/>
          <w:i/>
          <w:sz w:val="24"/>
        </w:rPr>
      </w:pPr>
      <w:r w:rsidRPr="00761225">
        <w:rPr>
          <w:rFonts w:ascii="Times New Roman" w:hAnsi="Times New Roman"/>
          <w:i/>
          <w:sz w:val="24"/>
        </w:rPr>
        <w:t xml:space="preserve">De Afdeling concludeert dat het voorstel in deze vorm niet zou moeten worden doorgezet, tenzij op al de hiervoor genoemde punten grondige aanpassingen zijn aangebracht. </w:t>
      </w:r>
    </w:p>
    <w:p w14:paraId="077C05AF" w14:textId="77777777" w:rsidR="00E25981" w:rsidRPr="00761225" w:rsidRDefault="00E25981" w:rsidP="000D29B3">
      <w:pPr>
        <w:rPr>
          <w:rFonts w:ascii="Times New Roman" w:hAnsi="Times New Roman"/>
          <w:sz w:val="24"/>
        </w:rPr>
      </w:pPr>
    </w:p>
    <w:p w14:paraId="3BF2B7D5" w14:textId="77777777" w:rsidR="000D29B3" w:rsidRPr="00761225" w:rsidRDefault="000D29B3" w:rsidP="000D29B3">
      <w:pPr>
        <w:rPr>
          <w:rFonts w:ascii="Times New Roman" w:hAnsi="Times New Roman"/>
          <w:i/>
          <w:sz w:val="24"/>
        </w:rPr>
      </w:pPr>
      <w:r w:rsidRPr="00761225">
        <w:rPr>
          <w:rFonts w:ascii="Times New Roman" w:hAnsi="Times New Roman"/>
          <w:i/>
          <w:sz w:val="24"/>
        </w:rPr>
        <w:t>f.</w:t>
      </w:r>
      <w:r w:rsidRPr="00761225">
        <w:rPr>
          <w:rFonts w:ascii="Times New Roman" w:hAnsi="Times New Roman"/>
          <w:i/>
          <w:sz w:val="24"/>
        </w:rPr>
        <w:tab/>
        <w:t>Gerichte benaderingswijze</w:t>
      </w:r>
    </w:p>
    <w:p w14:paraId="69833520" w14:textId="77777777" w:rsidR="000D29B3" w:rsidRPr="00761225" w:rsidRDefault="000D29B3" w:rsidP="000D29B3">
      <w:pPr>
        <w:rPr>
          <w:rFonts w:ascii="Times New Roman" w:hAnsi="Times New Roman"/>
          <w:i/>
          <w:sz w:val="24"/>
        </w:rPr>
      </w:pPr>
      <w:r w:rsidRPr="00761225">
        <w:rPr>
          <w:rFonts w:ascii="Times New Roman" w:hAnsi="Times New Roman"/>
          <w:i/>
          <w:sz w:val="24"/>
        </w:rPr>
        <w:t xml:space="preserve">Onverminderd het voorgaande geeft de Afdeling in overweging om voor de invulling van een gepaste zorgvuldigheidsverplichting in het licht van toekomstige Europese en nationale ontwikkelingen het volgende in acht te nemen. </w:t>
      </w:r>
    </w:p>
    <w:p w14:paraId="699A0927" w14:textId="77777777" w:rsidR="000D29B3" w:rsidRPr="00761225" w:rsidRDefault="000D29B3" w:rsidP="000D29B3">
      <w:pPr>
        <w:rPr>
          <w:rFonts w:ascii="Times New Roman" w:hAnsi="Times New Roman"/>
          <w:i/>
          <w:sz w:val="24"/>
        </w:rPr>
      </w:pPr>
    </w:p>
    <w:p w14:paraId="555E1906" w14:textId="77777777" w:rsidR="000D29B3" w:rsidRPr="00761225" w:rsidRDefault="000D29B3" w:rsidP="000D29B3">
      <w:pPr>
        <w:rPr>
          <w:rFonts w:ascii="Times New Roman" w:hAnsi="Times New Roman"/>
          <w:i/>
          <w:sz w:val="24"/>
        </w:rPr>
      </w:pPr>
      <w:r w:rsidRPr="00761225">
        <w:rPr>
          <w:rFonts w:ascii="Times New Roman" w:hAnsi="Times New Roman"/>
          <w:i/>
          <w:sz w:val="24"/>
        </w:rPr>
        <w:t xml:space="preserve">Voor specifieke producten, sectoren of misstanden waarvoor een duidelijke normstelling geldt op basis van (zoveel mogelijk) internationale of ten minste Europese consensus dat (naast civielrechtelijke handhaving) ook onder omstandigheden bestuursrechtelijke en strafrechtelijke handhaving mogelijk is, in de vorm van import- en exportverboden of gespecificeerde gepaste zorgvuldigheidsverplichtingen. Dit vergroot de kans op effectieve handhaving met medewerking van lokale autoriteiten. Hiermee wordt ook bereikt dat de handhaving zich richt op de grootste risico’s, zoals de toelichting beoogt.  </w:t>
      </w:r>
    </w:p>
    <w:p w14:paraId="15F2DEB0" w14:textId="77777777" w:rsidR="000D29B3" w:rsidRPr="00761225" w:rsidRDefault="000D29B3" w:rsidP="000D29B3">
      <w:pPr>
        <w:rPr>
          <w:rFonts w:ascii="Times New Roman" w:hAnsi="Times New Roman"/>
          <w:i/>
          <w:sz w:val="24"/>
        </w:rPr>
      </w:pPr>
    </w:p>
    <w:p w14:paraId="2155C1CF" w14:textId="77777777" w:rsidR="000D29B3" w:rsidRPr="00761225" w:rsidRDefault="000D29B3" w:rsidP="000D29B3">
      <w:pPr>
        <w:rPr>
          <w:rFonts w:ascii="Times New Roman" w:hAnsi="Times New Roman"/>
          <w:i/>
          <w:sz w:val="24"/>
        </w:rPr>
      </w:pPr>
      <w:bookmarkStart w:id="3" w:name="_Hlk92289945"/>
      <w:r w:rsidRPr="00761225">
        <w:rPr>
          <w:rFonts w:ascii="Times New Roman" w:hAnsi="Times New Roman"/>
          <w:i/>
          <w:sz w:val="24"/>
        </w:rPr>
        <w:t xml:space="preserve">Bij deze gerichte benadering kan ook gebruik worden gemaakt van de thans bestaande praktijk van convenanten. Dit sluit aan bij de toelichting waarin wordt benadrukt dat het wetsvoorstel en de convenantenaanpak elkaar kunnen versterken en aanvullen.  In de tekst van het onderhavige wetsvoorstel is dat echter niet tot uitdrukking gebracht. Een voorbeeld van een dergelijke aanpak is de conflictmineralenverordening die het mogelijk maakt om regelingen voor gepaste zorgvuldigheid te laten erkennen en daarmee aan de wettelijke verplichting te voldoen.  </w:t>
      </w:r>
    </w:p>
    <w:bookmarkEnd w:id="3"/>
    <w:p w14:paraId="71F8DAB1" w14:textId="77777777" w:rsidR="000D29B3" w:rsidRPr="00761225" w:rsidRDefault="000D29B3" w:rsidP="000D29B3">
      <w:pPr>
        <w:rPr>
          <w:rFonts w:ascii="Times New Roman" w:hAnsi="Times New Roman"/>
          <w:i/>
          <w:sz w:val="24"/>
        </w:rPr>
      </w:pPr>
    </w:p>
    <w:p w14:paraId="72EAB6DA" w14:textId="77777777" w:rsidR="000D29B3" w:rsidRPr="00761225" w:rsidRDefault="000D29B3" w:rsidP="000D29B3">
      <w:pPr>
        <w:rPr>
          <w:rFonts w:ascii="Times New Roman" w:hAnsi="Times New Roman"/>
          <w:i/>
          <w:sz w:val="24"/>
        </w:rPr>
      </w:pPr>
      <w:r w:rsidRPr="00761225">
        <w:rPr>
          <w:rFonts w:ascii="Times New Roman" w:hAnsi="Times New Roman"/>
          <w:i/>
          <w:sz w:val="24"/>
        </w:rPr>
        <w:t>Daarnaast is volgens de toelichting bij het wetsvoorstel het beëindigen van activiteiten door ondernemingen de allerlaatste optie en moet dit veeleer voorkomen worden.  De Afdeling adviseert om deze benaderingswijze, die past bij het evenredigheidsbeginsel, in wetgeving tot uitdrukking te brengen.</w:t>
      </w:r>
    </w:p>
    <w:p w14:paraId="3175C175" w14:textId="77777777" w:rsidR="000D29B3" w:rsidRPr="00761225" w:rsidRDefault="000D29B3" w:rsidP="000D29B3">
      <w:pPr>
        <w:rPr>
          <w:rFonts w:ascii="Times New Roman" w:hAnsi="Times New Roman"/>
          <w:i/>
          <w:sz w:val="24"/>
        </w:rPr>
      </w:pPr>
      <w:r w:rsidRPr="00761225">
        <w:rPr>
          <w:rFonts w:ascii="Times New Roman" w:hAnsi="Times New Roman"/>
          <w:i/>
          <w:sz w:val="24"/>
        </w:rPr>
        <w:t xml:space="preserve"> </w:t>
      </w:r>
    </w:p>
    <w:p w14:paraId="0D8B6D83" w14:textId="77777777" w:rsidR="000D29B3" w:rsidRDefault="000D29B3" w:rsidP="000D29B3">
      <w:pPr>
        <w:rPr>
          <w:rFonts w:ascii="Times New Roman" w:hAnsi="Times New Roman"/>
          <w:i/>
          <w:sz w:val="24"/>
        </w:rPr>
      </w:pPr>
      <w:r w:rsidRPr="00761225">
        <w:rPr>
          <w:rFonts w:ascii="Times New Roman" w:hAnsi="Times New Roman"/>
          <w:i/>
          <w:sz w:val="24"/>
        </w:rPr>
        <w:t xml:space="preserve">Ten aanzien van </w:t>
      </w:r>
      <w:bookmarkStart w:id="4" w:name="_Hlk92288876"/>
      <w:r w:rsidRPr="00761225">
        <w:rPr>
          <w:rFonts w:ascii="Times New Roman" w:hAnsi="Times New Roman"/>
          <w:i/>
          <w:sz w:val="24"/>
        </w:rPr>
        <w:t xml:space="preserve">producten, sectoren of misstanden waarvoor een afdoende internationale of ten minste Europese consensus en een duidelijke normstelling nog ontbreken, zou wetgeving beperkt kunnen worden tot rapportageverplichtingen, aansluitend bij het jaarrekeningrecht. </w:t>
      </w:r>
      <w:bookmarkEnd w:id="4"/>
      <w:r w:rsidRPr="00761225">
        <w:rPr>
          <w:rFonts w:ascii="Times New Roman" w:hAnsi="Times New Roman"/>
          <w:i/>
          <w:sz w:val="24"/>
        </w:rPr>
        <w:t>In dit kader valt ook te overwegen om de code corporate governance aan te scherpen. Deze rapportageverplichtingen, die nader gespecificeerd moeten worden in een amvb en zo nodig een ministeriële regeling, kunnen zowel civielrechtelijk als bestuursrechtelijk worden gehandhaafd.</w:t>
      </w:r>
      <w:r w:rsidRPr="00091691">
        <w:rPr>
          <w:rFonts w:ascii="Times New Roman" w:hAnsi="Times New Roman"/>
          <w:i/>
          <w:sz w:val="24"/>
        </w:rPr>
        <w:t xml:space="preserve"> </w:t>
      </w:r>
    </w:p>
    <w:p w14:paraId="38F5036C" w14:textId="77777777" w:rsidR="00BD7A5A" w:rsidRPr="00091691" w:rsidRDefault="00BD7A5A" w:rsidP="000D29B3">
      <w:pPr>
        <w:rPr>
          <w:rFonts w:ascii="Times New Roman" w:hAnsi="Times New Roman"/>
          <w:i/>
          <w:sz w:val="24"/>
        </w:rPr>
      </w:pPr>
    </w:p>
    <w:p w14:paraId="2A910EFE" w14:textId="738A6B7D" w:rsidR="00091691" w:rsidRPr="00BD4EBC" w:rsidRDefault="00091691" w:rsidP="00091691">
      <w:pPr>
        <w:rPr>
          <w:rFonts w:ascii="Times New Roman" w:hAnsi="Times New Roman"/>
          <w:b/>
          <w:sz w:val="24"/>
        </w:rPr>
      </w:pPr>
      <w:r w:rsidRPr="00BD4EBC">
        <w:rPr>
          <w:rFonts w:ascii="Times New Roman" w:hAnsi="Times New Roman"/>
          <w:b/>
          <w:sz w:val="24"/>
        </w:rPr>
        <w:t xml:space="preserve">Reactie: </w:t>
      </w:r>
    </w:p>
    <w:p w14:paraId="204A89C2" w14:textId="669387F4" w:rsidR="00B650AE" w:rsidRPr="00BD4EBC" w:rsidRDefault="00B650AE" w:rsidP="00091691">
      <w:pPr>
        <w:rPr>
          <w:rFonts w:ascii="Times New Roman" w:hAnsi="Times New Roman"/>
          <w:b/>
          <w:sz w:val="24"/>
        </w:rPr>
      </w:pPr>
    </w:p>
    <w:p w14:paraId="39C7CD87" w14:textId="71BF88DE" w:rsidR="00BA15EE" w:rsidRPr="00BD4EBC" w:rsidRDefault="000E3C55" w:rsidP="00091691">
      <w:pPr>
        <w:rPr>
          <w:rFonts w:ascii="Times New Roman" w:hAnsi="Times New Roman"/>
          <w:bCs/>
          <w:sz w:val="24"/>
        </w:rPr>
      </w:pPr>
      <w:r w:rsidRPr="00BD4EBC">
        <w:rPr>
          <w:rFonts w:ascii="Times New Roman" w:hAnsi="Times New Roman"/>
          <w:bCs/>
          <w:sz w:val="24"/>
        </w:rPr>
        <w:t xml:space="preserve">De suggestie van de </w:t>
      </w:r>
      <w:r w:rsidR="007E5852" w:rsidRPr="00BD4EBC">
        <w:rPr>
          <w:rFonts w:ascii="Times New Roman" w:hAnsi="Times New Roman"/>
          <w:bCs/>
          <w:sz w:val="24"/>
        </w:rPr>
        <w:t>Afdeling</w:t>
      </w:r>
      <w:r w:rsidRPr="00BD4EBC">
        <w:rPr>
          <w:rFonts w:ascii="Times New Roman" w:hAnsi="Times New Roman"/>
          <w:bCs/>
          <w:sz w:val="24"/>
        </w:rPr>
        <w:t xml:space="preserve"> om wetgeving te beperken tot specifieke producten, sectoren of misstanden </w:t>
      </w:r>
      <w:r w:rsidR="00A716F1" w:rsidRPr="00BD4EBC">
        <w:rPr>
          <w:rFonts w:ascii="Times New Roman" w:hAnsi="Times New Roman"/>
          <w:bCs/>
          <w:sz w:val="24"/>
        </w:rPr>
        <w:t>waarvoor een duidelijke normstelling geldt op basis van (zoveel mogelijk) internationale of ten minste Europese consensus</w:t>
      </w:r>
      <w:r w:rsidR="00BA15EE" w:rsidRPr="00BD4EBC">
        <w:rPr>
          <w:rFonts w:ascii="Times New Roman" w:hAnsi="Times New Roman"/>
          <w:bCs/>
          <w:sz w:val="24"/>
        </w:rPr>
        <w:t>,</w:t>
      </w:r>
      <w:r w:rsidR="00A716F1" w:rsidRPr="00BD4EBC">
        <w:rPr>
          <w:rFonts w:ascii="Times New Roman" w:hAnsi="Times New Roman"/>
          <w:bCs/>
          <w:sz w:val="24"/>
        </w:rPr>
        <w:t xml:space="preserve"> </w:t>
      </w:r>
      <w:r w:rsidRPr="00BD4EBC">
        <w:rPr>
          <w:rFonts w:ascii="Times New Roman" w:hAnsi="Times New Roman"/>
          <w:bCs/>
          <w:sz w:val="24"/>
        </w:rPr>
        <w:t xml:space="preserve">wordt door de initiatiefnemers niet overgenomen. </w:t>
      </w:r>
      <w:r w:rsidR="00AA0DF2" w:rsidRPr="00BD4EBC">
        <w:rPr>
          <w:rFonts w:ascii="Times New Roman" w:hAnsi="Times New Roman"/>
          <w:bCs/>
          <w:sz w:val="24"/>
        </w:rPr>
        <w:t xml:space="preserve">Zij menen namelijk dat dit </w:t>
      </w:r>
      <w:r w:rsidR="00BA15EE" w:rsidRPr="00BD4EBC">
        <w:rPr>
          <w:rFonts w:ascii="Times New Roman" w:hAnsi="Times New Roman"/>
          <w:bCs/>
          <w:sz w:val="24"/>
        </w:rPr>
        <w:t xml:space="preserve">een aantal nadelen met zich brengt. </w:t>
      </w:r>
    </w:p>
    <w:p w14:paraId="30951D99" w14:textId="77777777" w:rsidR="00BA15EE" w:rsidRPr="00BD4EBC" w:rsidRDefault="00BA15EE" w:rsidP="00091691">
      <w:pPr>
        <w:rPr>
          <w:rFonts w:ascii="Times New Roman" w:hAnsi="Times New Roman"/>
          <w:bCs/>
          <w:sz w:val="24"/>
        </w:rPr>
      </w:pPr>
    </w:p>
    <w:p w14:paraId="66C48262" w14:textId="5419C479" w:rsidR="00BA15EE" w:rsidRPr="00BD4EBC" w:rsidRDefault="00BA15EE" w:rsidP="00091691">
      <w:pPr>
        <w:rPr>
          <w:rFonts w:ascii="Times New Roman" w:hAnsi="Times New Roman"/>
          <w:bCs/>
          <w:sz w:val="24"/>
        </w:rPr>
      </w:pPr>
      <w:r w:rsidRPr="00BD4EBC">
        <w:rPr>
          <w:rFonts w:ascii="Times New Roman" w:hAnsi="Times New Roman"/>
          <w:bCs/>
          <w:sz w:val="24"/>
        </w:rPr>
        <w:t>Zo roept het de vraag op wanneer een onderneming tot een risicosector behoort. Dit is in de praktijk niet altijd eenduidig vast te stellen, ook omdat sectoren niet altijd duidelijk af te bakenen zijn. Welke sectoren risicovol zijn, is ook geen vast gegeven; er kunnen zich in de loop van de tijd veranderingen voordoen en risico’s kunnen verschuiven.</w:t>
      </w:r>
      <w:r w:rsidR="000E20EF" w:rsidRPr="00BD4EBC">
        <w:rPr>
          <w:rFonts w:ascii="Times New Roman" w:hAnsi="Times New Roman"/>
          <w:bCs/>
          <w:sz w:val="24"/>
        </w:rPr>
        <w:t xml:space="preserve"> Dergelijke overwegingen gelden ook voor specifieke producten of misstanden.</w:t>
      </w:r>
    </w:p>
    <w:p w14:paraId="4D343229" w14:textId="77777777" w:rsidR="00BA15EE" w:rsidRPr="00BD4EBC" w:rsidRDefault="00BA15EE" w:rsidP="00091691">
      <w:pPr>
        <w:rPr>
          <w:rFonts w:ascii="Times New Roman" w:hAnsi="Times New Roman"/>
          <w:bCs/>
          <w:sz w:val="24"/>
        </w:rPr>
      </w:pPr>
    </w:p>
    <w:p w14:paraId="451A3C3C" w14:textId="476CAAB0" w:rsidR="000E20EF" w:rsidRPr="00BD4EBC" w:rsidRDefault="000E20EF" w:rsidP="00091691">
      <w:pPr>
        <w:rPr>
          <w:rFonts w:ascii="Times New Roman" w:hAnsi="Times New Roman"/>
          <w:bCs/>
          <w:sz w:val="24"/>
        </w:rPr>
      </w:pPr>
      <w:r w:rsidRPr="00BD4EBC">
        <w:rPr>
          <w:rFonts w:ascii="Times New Roman" w:hAnsi="Times New Roman"/>
          <w:bCs/>
          <w:sz w:val="24"/>
        </w:rPr>
        <w:t xml:space="preserve">Wetgeving beperken tot specifieke producten, sectoren of misstanden </w:t>
      </w:r>
      <w:r w:rsidR="00467032" w:rsidRPr="00BD4EBC">
        <w:rPr>
          <w:rFonts w:ascii="Times New Roman" w:hAnsi="Times New Roman"/>
          <w:bCs/>
          <w:sz w:val="24"/>
        </w:rPr>
        <w:t xml:space="preserve">waar al normstelling voor bestaat </w:t>
      </w:r>
      <w:r w:rsidRPr="00BD4EBC">
        <w:rPr>
          <w:rFonts w:ascii="Times New Roman" w:hAnsi="Times New Roman"/>
          <w:bCs/>
          <w:sz w:val="24"/>
        </w:rPr>
        <w:t xml:space="preserve">zou verder </w:t>
      </w:r>
      <w:r w:rsidR="00AA0DF2" w:rsidRPr="00BD4EBC">
        <w:rPr>
          <w:rFonts w:ascii="Times New Roman" w:hAnsi="Times New Roman"/>
          <w:bCs/>
          <w:sz w:val="24"/>
        </w:rPr>
        <w:t>een achteruitgang betekenen ten opzichte van de bestaande verplichtingen op basis van convenanten</w:t>
      </w:r>
      <w:r w:rsidR="00524408" w:rsidRPr="00BD4EBC">
        <w:rPr>
          <w:rFonts w:ascii="Times New Roman" w:hAnsi="Times New Roman"/>
          <w:bCs/>
          <w:sz w:val="24"/>
        </w:rPr>
        <w:t xml:space="preserve"> die een breed karakter hebben</w:t>
      </w:r>
      <w:r w:rsidR="00AA0DF2" w:rsidRPr="00BD4EBC">
        <w:rPr>
          <w:rFonts w:ascii="Times New Roman" w:hAnsi="Times New Roman"/>
          <w:bCs/>
          <w:sz w:val="24"/>
        </w:rPr>
        <w:t>. Daarmee zouden achterblijvers</w:t>
      </w:r>
      <w:r w:rsidR="00467032" w:rsidRPr="00BD4EBC">
        <w:rPr>
          <w:rFonts w:ascii="Times New Roman" w:hAnsi="Times New Roman"/>
          <w:bCs/>
          <w:sz w:val="24"/>
        </w:rPr>
        <w:t>, die niet zelf hebben gewerkt aan een normstelling via bijvoorbeeld een IMVO-convenant,</w:t>
      </w:r>
      <w:r w:rsidR="00AA0DF2" w:rsidRPr="00BD4EBC">
        <w:rPr>
          <w:rFonts w:ascii="Times New Roman" w:hAnsi="Times New Roman"/>
          <w:bCs/>
          <w:sz w:val="24"/>
        </w:rPr>
        <w:t xml:space="preserve"> worden beloond en koplopers zouden hun inspanningen </w:t>
      </w:r>
      <w:r w:rsidR="00A716F1" w:rsidRPr="00BD4EBC">
        <w:rPr>
          <w:rFonts w:ascii="Times New Roman" w:hAnsi="Times New Roman"/>
          <w:bCs/>
          <w:sz w:val="24"/>
        </w:rPr>
        <w:t>daarentegen</w:t>
      </w:r>
      <w:r w:rsidR="00AA0DF2" w:rsidRPr="00BD4EBC">
        <w:rPr>
          <w:rFonts w:ascii="Times New Roman" w:hAnsi="Times New Roman"/>
          <w:bCs/>
          <w:sz w:val="24"/>
        </w:rPr>
        <w:t xml:space="preserve"> niet beloond zien. </w:t>
      </w:r>
      <w:r w:rsidRPr="00BD4EBC">
        <w:rPr>
          <w:rFonts w:ascii="Times New Roman" w:hAnsi="Times New Roman"/>
          <w:bCs/>
          <w:sz w:val="24"/>
        </w:rPr>
        <w:t xml:space="preserve">Een gelijk speelveld voor alle </w:t>
      </w:r>
      <w:r w:rsidR="00C06636" w:rsidRPr="00BD4EBC">
        <w:rPr>
          <w:rFonts w:ascii="Times New Roman" w:hAnsi="Times New Roman"/>
          <w:bCs/>
          <w:sz w:val="24"/>
        </w:rPr>
        <w:t>ondernemingen</w:t>
      </w:r>
      <w:r w:rsidRPr="00BD4EBC">
        <w:rPr>
          <w:rFonts w:ascii="Times New Roman" w:hAnsi="Times New Roman"/>
          <w:bCs/>
          <w:sz w:val="24"/>
        </w:rPr>
        <w:t xml:space="preserve"> zou hiermee ook niet gediend zijn. </w:t>
      </w:r>
    </w:p>
    <w:p w14:paraId="16B2158F" w14:textId="77777777" w:rsidR="000E20EF" w:rsidRPr="00BD4EBC" w:rsidRDefault="000E20EF" w:rsidP="00091691">
      <w:pPr>
        <w:rPr>
          <w:rFonts w:ascii="Times New Roman" w:hAnsi="Times New Roman"/>
          <w:bCs/>
          <w:sz w:val="24"/>
        </w:rPr>
      </w:pPr>
    </w:p>
    <w:p w14:paraId="21625BFC" w14:textId="49FB017C" w:rsidR="00860170" w:rsidRPr="00BD4EBC" w:rsidRDefault="00A716F1" w:rsidP="00091691">
      <w:pPr>
        <w:rPr>
          <w:rFonts w:ascii="Times New Roman" w:hAnsi="Times New Roman"/>
          <w:bCs/>
          <w:sz w:val="24"/>
        </w:rPr>
      </w:pPr>
      <w:r w:rsidRPr="00BD4EBC">
        <w:rPr>
          <w:rFonts w:ascii="Times New Roman" w:hAnsi="Times New Roman"/>
          <w:bCs/>
          <w:sz w:val="24"/>
        </w:rPr>
        <w:t xml:space="preserve">Een dergelijke aanpak zou volgens de initiatiefnemers </w:t>
      </w:r>
      <w:r w:rsidR="000E20EF" w:rsidRPr="00BD4EBC">
        <w:rPr>
          <w:rFonts w:ascii="Times New Roman" w:hAnsi="Times New Roman"/>
          <w:bCs/>
          <w:sz w:val="24"/>
        </w:rPr>
        <w:t>bovendien</w:t>
      </w:r>
      <w:r w:rsidRPr="00BD4EBC">
        <w:rPr>
          <w:rFonts w:ascii="Times New Roman" w:hAnsi="Times New Roman"/>
          <w:bCs/>
          <w:sz w:val="24"/>
        </w:rPr>
        <w:t xml:space="preserve"> te veel afwijken van </w:t>
      </w:r>
      <w:r w:rsidR="00AA0DF2" w:rsidRPr="00BD4EBC">
        <w:rPr>
          <w:rFonts w:ascii="Times New Roman" w:hAnsi="Times New Roman"/>
          <w:bCs/>
          <w:sz w:val="24"/>
        </w:rPr>
        <w:t>de OESO-richtlijnen</w:t>
      </w:r>
      <w:r w:rsidR="00982DA4" w:rsidRPr="00BD4EBC">
        <w:rPr>
          <w:rFonts w:ascii="Times New Roman" w:hAnsi="Times New Roman"/>
          <w:bCs/>
          <w:sz w:val="24"/>
        </w:rPr>
        <w:t>,</w:t>
      </w:r>
      <w:r w:rsidR="00467032" w:rsidRPr="00BD4EBC">
        <w:rPr>
          <w:rFonts w:ascii="Times New Roman" w:hAnsi="Times New Roman"/>
          <w:bCs/>
          <w:sz w:val="24"/>
        </w:rPr>
        <w:t xml:space="preserve"> die van toepassing zijn op alle </w:t>
      </w:r>
      <w:r w:rsidR="00C06636" w:rsidRPr="00BD4EBC">
        <w:rPr>
          <w:rFonts w:ascii="Times New Roman" w:hAnsi="Times New Roman"/>
          <w:bCs/>
          <w:sz w:val="24"/>
        </w:rPr>
        <w:t>ondernemingen</w:t>
      </w:r>
      <w:r w:rsidR="00467032" w:rsidRPr="00BD4EBC">
        <w:rPr>
          <w:rFonts w:ascii="Times New Roman" w:hAnsi="Times New Roman"/>
          <w:bCs/>
          <w:sz w:val="24"/>
        </w:rPr>
        <w:t xml:space="preserve"> met een internationale waardeketen</w:t>
      </w:r>
      <w:r w:rsidR="00524408" w:rsidRPr="00BD4EBC">
        <w:rPr>
          <w:rFonts w:ascii="Times New Roman" w:hAnsi="Times New Roman"/>
          <w:bCs/>
          <w:sz w:val="24"/>
        </w:rPr>
        <w:t xml:space="preserve"> en niet beperkt worden tot bepaalde misstanden</w:t>
      </w:r>
      <w:r w:rsidRPr="00BD4EBC">
        <w:rPr>
          <w:rFonts w:ascii="Times New Roman" w:hAnsi="Times New Roman"/>
          <w:bCs/>
          <w:sz w:val="24"/>
        </w:rPr>
        <w:t>.</w:t>
      </w:r>
      <w:r w:rsidR="00AA0DF2" w:rsidRPr="00BD4EBC">
        <w:rPr>
          <w:rFonts w:ascii="Times New Roman" w:hAnsi="Times New Roman"/>
          <w:bCs/>
          <w:sz w:val="24"/>
        </w:rPr>
        <w:t xml:space="preserve"> </w:t>
      </w:r>
    </w:p>
    <w:p w14:paraId="5CFEEC2B" w14:textId="3AB70AFB" w:rsidR="00A716F1" w:rsidRPr="00BD4EBC" w:rsidRDefault="00A716F1" w:rsidP="00091691">
      <w:pPr>
        <w:rPr>
          <w:rFonts w:ascii="Times New Roman" w:hAnsi="Times New Roman"/>
          <w:bCs/>
          <w:sz w:val="24"/>
        </w:rPr>
      </w:pPr>
    </w:p>
    <w:p w14:paraId="6FC345BD" w14:textId="3F11CDDD" w:rsidR="00A60D5C" w:rsidRPr="00BD4EBC" w:rsidRDefault="00A716F1" w:rsidP="0039346C">
      <w:pPr>
        <w:rPr>
          <w:rFonts w:ascii="Times New Roman" w:hAnsi="Times New Roman"/>
          <w:sz w:val="24"/>
        </w:rPr>
      </w:pPr>
      <w:r w:rsidRPr="00BD4EBC">
        <w:rPr>
          <w:rFonts w:ascii="Times New Roman" w:hAnsi="Times New Roman"/>
          <w:bCs/>
          <w:sz w:val="24"/>
        </w:rPr>
        <w:t xml:space="preserve">Ook de suggestie van de </w:t>
      </w:r>
      <w:r w:rsidR="007E5852" w:rsidRPr="00BD4EBC">
        <w:rPr>
          <w:rFonts w:ascii="Times New Roman" w:hAnsi="Times New Roman"/>
          <w:bCs/>
          <w:sz w:val="24"/>
        </w:rPr>
        <w:t>Afdeling</w:t>
      </w:r>
      <w:r w:rsidRPr="00BD4EBC">
        <w:rPr>
          <w:rFonts w:ascii="Times New Roman" w:hAnsi="Times New Roman"/>
          <w:bCs/>
          <w:sz w:val="24"/>
        </w:rPr>
        <w:t xml:space="preserve"> </w:t>
      </w:r>
      <w:r w:rsidR="00982DA4" w:rsidRPr="00BD4EBC">
        <w:rPr>
          <w:rFonts w:ascii="Times New Roman" w:hAnsi="Times New Roman"/>
          <w:bCs/>
          <w:sz w:val="24"/>
        </w:rPr>
        <w:t>advisering om wetsvoorstel</w:t>
      </w:r>
      <w:r w:rsidR="00A80E11" w:rsidRPr="00BD4EBC">
        <w:rPr>
          <w:rFonts w:ascii="Times New Roman" w:hAnsi="Times New Roman"/>
          <w:bCs/>
          <w:sz w:val="24"/>
        </w:rPr>
        <w:t xml:space="preserve"> </w:t>
      </w:r>
      <w:r w:rsidR="00351B41" w:rsidRPr="00BD4EBC">
        <w:rPr>
          <w:rFonts w:ascii="Times New Roman" w:hAnsi="Times New Roman"/>
          <w:bCs/>
          <w:sz w:val="24"/>
        </w:rPr>
        <w:t xml:space="preserve">te beperken </w:t>
      </w:r>
      <w:r w:rsidR="00A80E11" w:rsidRPr="00BD4EBC">
        <w:rPr>
          <w:rFonts w:ascii="Times New Roman" w:hAnsi="Times New Roman"/>
          <w:bCs/>
          <w:sz w:val="24"/>
        </w:rPr>
        <w:t>tot rapportageverplichtingen, aansluitend bij het jaarrekeningrecht</w:t>
      </w:r>
      <w:r w:rsidR="00351B41" w:rsidRPr="00BD4EBC">
        <w:rPr>
          <w:rFonts w:ascii="Times New Roman" w:hAnsi="Times New Roman"/>
          <w:bCs/>
          <w:sz w:val="24"/>
        </w:rPr>
        <w:t>, wordt door de initiatiefnemers niet overgenomen. De reden daarvoor is dat zij op die manier</w:t>
      </w:r>
      <w:r w:rsidR="00A60D5C" w:rsidRPr="00BD4EBC">
        <w:rPr>
          <w:rFonts w:ascii="Times New Roman" w:hAnsi="Times New Roman"/>
          <w:sz w:val="24"/>
        </w:rPr>
        <w:t xml:space="preserve"> geen toegevoegde waarde </w:t>
      </w:r>
      <w:r w:rsidR="00351B41" w:rsidRPr="00BD4EBC">
        <w:rPr>
          <w:rFonts w:ascii="Times New Roman" w:hAnsi="Times New Roman"/>
          <w:sz w:val="24"/>
        </w:rPr>
        <w:t>zien</w:t>
      </w:r>
      <w:r w:rsidR="00A60D5C" w:rsidRPr="00BD4EBC">
        <w:rPr>
          <w:rFonts w:ascii="Times New Roman" w:hAnsi="Times New Roman"/>
          <w:sz w:val="24"/>
        </w:rPr>
        <w:t xml:space="preserve"> ten opzichte van de bestaande (Europese) rapportageverplichting</w:t>
      </w:r>
      <w:r w:rsidR="00E305A9" w:rsidRPr="00BD4EBC">
        <w:rPr>
          <w:rFonts w:ascii="Times New Roman" w:hAnsi="Times New Roman"/>
          <w:sz w:val="24"/>
        </w:rPr>
        <w:t xml:space="preserve"> in de jaarrekening</w:t>
      </w:r>
      <w:r w:rsidR="00351B41" w:rsidRPr="00BD4EBC">
        <w:rPr>
          <w:rFonts w:ascii="Times New Roman" w:hAnsi="Times New Roman"/>
          <w:sz w:val="24"/>
        </w:rPr>
        <w:t xml:space="preserve">. En ook hier zou dan gelden dat dit </w:t>
      </w:r>
      <w:r w:rsidR="00E73463" w:rsidRPr="00BD4EBC">
        <w:rPr>
          <w:rFonts w:ascii="Times New Roman" w:hAnsi="Times New Roman"/>
          <w:sz w:val="24"/>
        </w:rPr>
        <w:t>een achteruitgang zou betekenen ten opzichte van de bestaande verplichtingen op basis van convenanten</w:t>
      </w:r>
      <w:r w:rsidR="00351B41" w:rsidRPr="00BD4EBC">
        <w:rPr>
          <w:rFonts w:ascii="Times New Roman" w:hAnsi="Times New Roman"/>
          <w:sz w:val="24"/>
        </w:rPr>
        <w:t xml:space="preserve">, waardoor </w:t>
      </w:r>
      <w:r w:rsidR="00E73463" w:rsidRPr="00BD4EBC">
        <w:rPr>
          <w:rFonts w:ascii="Times New Roman" w:hAnsi="Times New Roman"/>
          <w:sz w:val="24"/>
        </w:rPr>
        <w:t xml:space="preserve">achterblijvers beloond </w:t>
      </w:r>
      <w:r w:rsidR="00066DDA" w:rsidRPr="00BD4EBC">
        <w:rPr>
          <w:rFonts w:ascii="Times New Roman" w:hAnsi="Times New Roman"/>
          <w:sz w:val="24"/>
        </w:rPr>
        <w:t xml:space="preserve">zouden worden </w:t>
      </w:r>
      <w:r w:rsidR="00E73463" w:rsidRPr="00BD4EBC">
        <w:rPr>
          <w:rFonts w:ascii="Times New Roman" w:hAnsi="Times New Roman"/>
          <w:sz w:val="24"/>
        </w:rPr>
        <w:t xml:space="preserve">en koplopers </w:t>
      </w:r>
      <w:r w:rsidR="00066DDA" w:rsidRPr="00BD4EBC">
        <w:rPr>
          <w:rFonts w:ascii="Times New Roman" w:hAnsi="Times New Roman"/>
          <w:sz w:val="24"/>
        </w:rPr>
        <w:t xml:space="preserve">eigenlijk vergeefs inspanningen hebben gepleegd. </w:t>
      </w:r>
      <w:r w:rsidR="0039346C" w:rsidRPr="00BD4EBC">
        <w:rPr>
          <w:rFonts w:ascii="Times New Roman" w:hAnsi="Times New Roman"/>
          <w:sz w:val="24"/>
        </w:rPr>
        <w:t xml:space="preserve">Bovendien zou een </w:t>
      </w:r>
      <w:r w:rsidR="00A60D5C" w:rsidRPr="00BD4EBC">
        <w:rPr>
          <w:rFonts w:ascii="Times New Roman" w:hAnsi="Times New Roman"/>
          <w:sz w:val="24"/>
        </w:rPr>
        <w:t>rapportageverplichting</w:t>
      </w:r>
      <w:r w:rsidR="00982DA4" w:rsidRPr="00BD4EBC">
        <w:rPr>
          <w:rFonts w:ascii="Times New Roman" w:hAnsi="Times New Roman"/>
          <w:sz w:val="24"/>
        </w:rPr>
        <w:t>,</w:t>
      </w:r>
      <w:r w:rsidR="00A60D5C" w:rsidRPr="00BD4EBC">
        <w:rPr>
          <w:rFonts w:ascii="Times New Roman" w:hAnsi="Times New Roman"/>
          <w:sz w:val="24"/>
        </w:rPr>
        <w:t xml:space="preserve"> zoals voorgesteld door de Afdeling</w:t>
      </w:r>
      <w:r w:rsidR="00982DA4" w:rsidRPr="00BD4EBC">
        <w:rPr>
          <w:rFonts w:ascii="Times New Roman" w:hAnsi="Times New Roman"/>
          <w:sz w:val="24"/>
        </w:rPr>
        <w:t xml:space="preserve"> advisering,</w:t>
      </w:r>
      <w:r w:rsidR="00F90672" w:rsidRPr="00BD4EBC">
        <w:rPr>
          <w:rFonts w:ascii="Times New Roman" w:hAnsi="Times New Roman"/>
          <w:sz w:val="24"/>
        </w:rPr>
        <w:t xml:space="preserve"> te</w:t>
      </w:r>
      <w:r w:rsidR="00A60D5C" w:rsidRPr="00BD4EBC">
        <w:rPr>
          <w:rFonts w:ascii="Times New Roman" w:hAnsi="Times New Roman"/>
          <w:sz w:val="24"/>
        </w:rPr>
        <w:t xml:space="preserve"> onbepaald</w:t>
      </w:r>
      <w:r w:rsidR="0039346C" w:rsidRPr="00BD4EBC">
        <w:rPr>
          <w:rFonts w:ascii="Times New Roman" w:hAnsi="Times New Roman"/>
          <w:sz w:val="24"/>
        </w:rPr>
        <w:t xml:space="preserve"> zijn</w:t>
      </w:r>
      <w:r w:rsidR="00F90672" w:rsidRPr="00BD4EBC">
        <w:rPr>
          <w:rFonts w:ascii="Times New Roman" w:hAnsi="Times New Roman"/>
          <w:sz w:val="24"/>
        </w:rPr>
        <w:t xml:space="preserve">; zonder verplichte toepassing van de overige stappen in het proces van gepaste zorgvuldigheid gebaseerd op de OESO-richtlijnen zou het immers onduidelijk zijn waarover ondernemingen </w:t>
      </w:r>
      <w:r w:rsidR="00982DA4" w:rsidRPr="00BD4EBC">
        <w:rPr>
          <w:rFonts w:ascii="Times New Roman" w:hAnsi="Times New Roman"/>
          <w:sz w:val="24"/>
        </w:rPr>
        <w:t xml:space="preserve">zouden </w:t>
      </w:r>
      <w:r w:rsidR="00F90672" w:rsidRPr="00BD4EBC">
        <w:rPr>
          <w:rFonts w:ascii="Times New Roman" w:hAnsi="Times New Roman"/>
          <w:sz w:val="24"/>
        </w:rPr>
        <w:t>moeten rapporteren.</w:t>
      </w:r>
    </w:p>
    <w:p w14:paraId="4314A3BD" w14:textId="09DA4FDF" w:rsidR="00152434" w:rsidRPr="00BD4EBC" w:rsidRDefault="00152434" w:rsidP="0039346C">
      <w:pPr>
        <w:rPr>
          <w:rFonts w:ascii="Times New Roman" w:hAnsi="Times New Roman"/>
          <w:sz w:val="24"/>
        </w:rPr>
      </w:pPr>
    </w:p>
    <w:p w14:paraId="3D752098" w14:textId="2913643D" w:rsidR="00D57321" w:rsidRPr="00BD4EBC" w:rsidRDefault="00152434" w:rsidP="00E5608F">
      <w:pPr>
        <w:rPr>
          <w:rFonts w:ascii="Times New Roman" w:hAnsi="Times New Roman"/>
          <w:sz w:val="24"/>
        </w:rPr>
      </w:pPr>
      <w:r w:rsidRPr="00BD4EBC">
        <w:rPr>
          <w:rFonts w:ascii="Times New Roman" w:hAnsi="Times New Roman"/>
          <w:sz w:val="24"/>
        </w:rPr>
        <w:t>Hoewel wetgeving de bestaande convenanten inderdaad zou kunnen versterken</w:t>
      </w:r>
      <w:r w:rsidR="00E5608F" w:rsidRPr="00BD4EBC">
        <w:rPr>
          <w:rFonts w:ascii="Times New Roman" w:hAnsi="Times New Roman"/>
          <w:sz w:val="24"/>
        </w:rPr>
        <w:t>, kunnen zij niet erkend worden als manier waarop aan wetgeving voldaan wordt. Daarvoor zijn de c</w:t>
      </w:r>
      <w:r w:rsidR="00A60D5C" w:rsidRPr="00BD4EBC">
        <w:rPr>
          <w:rFonts w:ascii="Times New Roman" w:hAnsi="Times New Roman"/>
          <w:sz w:val="24"/>
        </w:rPr>
        <w:t xml:space="preserve">onvenanten </w:t>
      </w:r>
      <w:r w:rsidR="00E5608F" w:rsidRPr="00BD4EBC">
        <w:rPr>
          <w:rFonts w:ascii="Times New Roman" w:hAnsi="Times New Roman"/>
          <w:sz w:val="24"/>
        </w:rPr>
        <w:t>onderling</w:t>
      </w:r>
      <w:r w:rsidR="00A60D5C" w:rsidRPr="00BD4EBC">
        <w:rPr>
          <w:rFonts w:ascii="Times New Roman" w:hAnsi="Times New Roman"/>
          <w:sz w:val="24"/>
        </w:rPr>
        <w:t xml:space="preserve"> te </w:t>
      </w:r>
      <w:r w:rsidR="00E5608F" w:rsidRPr="00BD4EBC">
        <w:rPr>
          <w:rFonts w:ascii="Times New Roman" w:hAnsi="Times New Roman"/>
          <w:sz w:val="24"/>
        </w:rPr>
        <w:t>verschillend</w:t>
      </w:r>
      <w:r w:rsidR="00A60D5C" w:rsidRPr="00BD4EBC">
        <w:rPr>
          <w:rFonts w:ascii="Times New Roman" w:hAnsi="Times New Roman"/>
          <w:sz w:val="24"/>
        </w:rPr>
        <w:t xml:space="preserve"> en </w:t>
      </w:r>
      <w:r w:rsidR="00E5608F" w:rsidRPr="00BD4EBC">
        <w:rPr>
          <w:rFonts w:ascii="Times New Roman" w:hAnsi="Times New Roman"/>
          <w:sz w:val="24"/>
        </w:rPr>
        <w:t xml:space="preserve">bovendien </w:t>
      </w:r>
      <w:r w:rsidR="00A60D5C" w:rsidRPr="00BD4EBC">
        <w:rPr>
          <w:rFonts w:ascii="Times New Roman" w:hAnsi="Times New Roman"/>
          <w:sz w:val="24"/>
        </w:rPr>
        <w:t>te weinig onderschreven</w:t>
      </w:r>
      <w:r w:rsidR="00E5608F" w:rsidRPr="00BD4EBC">
        <w:rPr>
          <w:rFonts w:ascii="Times New Roman" w:hAnsi="Times New Roman"/>
          <w:sz w:val="24"/>
        </w:rPr>
        <w:t>.</w:t>
      </w:r>
      <w:r w:rsidR="00DD610F" w:rsidRPr="00BD4EBC">
        <w:rPr>
          <w:rStyle w:val="Voetnootmarkering"/>
          <w:rFonts w:ascii="Times New Roman" w:hAnsi="Times New Roman"/>
          <w:sz w:val="24"/>
        </w:rPr>
        <w:footnoteReference w:id="10"/>
      </w:r>
      <w:r w:rsidR="00551017" w:rsidRPr="00BD4EBC">
        <w:rPr>
          <w:rFonts w:ascii="Times New Roman" w:hAnsi="Times New Roman"/>
          <w:sz w:val="24"/>
        </w:rPr>
        <w:t xml:space="preserve"> Wel hebben de initiatiefnemers meer ruimte gecreëerd in het wetsvoorstel voor ondernemingen om ook gezamenlijk aan de zes OESO stappen </w:t>
      </w:r>
      <w:r w:rsidR="00524408" w:rsidRPr="00BD4EBC">
        <w:rPr>
          <w:rFonts w:ascii="Times New Roman" w:hAnsi="Times New Roman"/>
          <w:sz w:val="24"/>
        </w:rPr>
        <w:t xml:space="preserve">voor gepaste zorgvuldigheid </w:t>
      </w:r>
      <w:r w:rsidR="00551017" w:rsidRPr="00BD4EBC">
        <w:rPr>
          <w:rFonts w:ascii="Times New Roman" w:hAnsi="Times New Roman"/>
          <w:sz w:val="24"/>
        </w:rPr>
        <w:t>te kunnen voldoen</w:t>
      </w:r>
      <w:r w:rsidR="00860170" w:rsidRPr="00BD4EBC">
        <w:rPr>
          <w:rFonts w:ascii="Times New Roman" w:hAnsi="Times New Roman"/>
          <w:sz w:val="24"/>
        </w:rPr>
        <w:t xml:space="preserve"> in combinatie met een meldplicht aan de toezichthouder</w:t>
      </w:r>
      <w:r w:rsidR="00551017" w:rsidRPr="00BD4EBC">
        <w:rPr>
          <w:rFonts w:ascii="Times New Roman" w:hAnsi="Times New Roman"/>
          <w:sz w:val="24"/>
        </w:rPr>
        <w:t xml:space="preserve">. </w:t>
      </w:r>
      <w:r w:rsidR="00982DA4" w:rsidRPr="00BD4EBC">
        <w:rPr>
          <w:rFonts w:ascii="Times New Roman" w:hAnsi="Times New Roman"/>
          <w:sz w:val="24"/>
        </w:rPr>
        <w:t xml:space="preserve">Hiervoor </w:t>
      </w:r>
      <w:r w:rsidR="00551017" w:rsidRPr="00BD4EBC">
        <w:rPr>
          <w:rFonts w:ascii="Times New Roman" w:hAnsi="Times New Roman"/>
          <w:sz w:val="24"/>
        </w:rPr>
        <w:t xml:space="preserve">is artikel 2.1.2 ingevoegd. </w:t>
      </w:r>
    </w:p>
    <w:p w14:paraId="56EAA5A2" w14:textId="77777777" w:rsidR="00D57321" w:rsidRPr="00BD4EBC" w:rsidRDefault="00D57321" w:rsidP="00E5608F">
      <w:pPr>
        <w:rPr>
          <w:rFonts w:ascii="Times New Roman" w:hAnsi="Times New Roman"/>
          <w:sz w:val="24"/>
        </w:rPr>
      </w:pPr>
    </w:p>
    <w:p w14:paraId="5C0CF262" w14:textId="5A098E59" w:rsidR="004564CD" w:rsidRDefault="00D57321" w:rsidP="00E5608F">
      <w:pPr>
        <w:rPr>
          <w:rFonts w:ascii="Times New Roman" w:hAnsi="Times New Roman"/>
          <w:color w:val="0070C0"/>
          <w:sz w:val="24"/>
        </w:rPr>
      </w:pPr>
      <w:r w:rsidRPr="00BD4EBC">
        <w:rPr>
          <w:rFonts w:ascii="Times New Roman" w:hAnsi="Times New Roman"/>
          <w:sz w:val="24"/>
        </w:rPr>
        <w:t xml:space="preserve">Het advies van de </w:t>
      </w:r>
      <w:r w:rsidR="007E5852" w:rsidRPr="00BD4EBC">
        <w:rPr>
          <w:rFonts w:ascii="Times New Roman" w:hAnsi="Times New Roman"/>
          <w:sz w:val="24"/>
        </w:rPr>
        <w:t>Afdeling</w:t>
      </w:r>
      <w:r w:rsidRPr="00BD4EBC">
        <w:rPr>
          <w:rFonts w:ascii="Times New Roman" w:hAnsi="Times New Roman"/>
          <w:sz w:val="24"/>
        </w:rPr>
        <w:t xml:space="preserve"> om in het wetsvoorstel tot uitdrukking te brengen dat het beëindigen van activiteiten door ondernemingen de allerlaatste optie is en dat dit veeleer voorkomen zou moeten worden, is door de initiatiefnemers opgevolgd. Waarin beschreven wordt waarmee een onderneming bij een eventueel besluit tot beëindiging van een eigen activiteit rekening </w:t>
      </w:r>
      <w:r w:rsidR="004564CD" w:rsidRPr="00BD4EBC">
        <w:rPr>
          <w:rFonts w:ascii="Times New Roman" w:hAnsi="Times New Roman"/>
          <w:sz w:val="24"/>
        </w:rPr>
        <w:t xml:space="preserve">kan houden. Het gaat hierbij onder meer om de mate waarin de activiteit essentieel is voor de onderneming, de juridische gevolgen van voortzetting of beëindiging en informatie over de potentiële </w:t>
      </w:r>
      <w:r w:rsidR="00001CC4" w:rsidRPr="00BD4EBC">
        <w:rPr>
          <w:rFonts w:ascii="Times New Roman" w:hAnsi="Times New Roman"/>
          <w:sz w:val="24"/>
        </w:rPr>
        <w:t>negatieve</w:t>
      </w:r>
      <w:r w:rsidR="004564CD" w:rsidRPr="00BD4EBC">
        <w:rPr>
          <w:rFonts w:ascii="Times New Roman" w:hAnsi="Times New Roman"/>
          <w:sz w:val="24"/>
        </w:rPr>
        <w:t>, sociale en economische gevolgen van de beëindiging voor betrokkenen of zakenrelaties. Al deze aspecten kunnen ook in ogenschouw genomen worden bij de beoordeling van de vraag of een zakenrelatie beëindigd dient te worden (</w:t>
      </w:r>
      <w:r w:rsidR="00DD13F4" w:rsidRPr="00BD4EBC">
        <w:rPr>
          <w:rFonts w:ascii="Times New Roman" w:hAnsi="Times New Roman"/>
          <w:sz w:val="24"/>
        </w:rPr>
        <w:t xml:space="preserve">zie </w:t>
      </w:r>
      <w:r w:rsidR="004564CD" w:rsidRPr="00BD4EBC">
        <w:rPr>
          <w:rFonts w:ascii="Times New Roman" w:hAnsi="Times New Roman"/>
          <w:sz w:val="24"/>
        </w:rPr>
        <w:t>artikel 2.4.3).</w:t>
      </w:r>
    </w:p>
    <w:p w14:paraId="3A73682A" w14:textId="77777777" w:rsidR="00E5608F" w:rsidRDefault="00E5608F" w:rsidP="00E5608F">
      <w:pPr>
        <w:rPr>
          <w:rFonts w:ascii="Times New Roman" w:hAnsi="Times New Roman"/>
          <w:color w:val="0070C0"/>
          <w:sz w:val="24"/>
        </w:rPr>
      </w:pPr>
    </w:p>
    <w:p w14:paraId="4EA1E9CE" w14:textId="77777777" w:rsidR="00217EEF" w:rsidRPr="000D29B3" w:rsidRDefault="00217EEF" w:rsidP="000D29B3">
      <w:pPr>
        <w:rPr>
          <w:rFonts w:ascii="Times New Roman" w:hAnsi="Times New Roman"/>
          <w:sz w:val="24"/>
        </w:rPr>
      </w:pPr>
    </w:p>
    <w:p w14:paraId="498E138A" w14:textId="77777777" w:rsidR="000D29B3" w:rsidRPr="00091691" w:rsidRDefault="000D29B3" w:rsidP="000D29B3">
      <w:pPr>
        <w:rPr>
          <w:rFonts w:ascii="Times New Roman" w:hAnsi="Times New Roman"/>
          <w:i/>
          <w:sz w:val="24"/>
        </w:rPr>
      </w:pPr>
      <w:r w:rsidRPr="00091691">
        <w:rPr>
          <w:rFonts w:ascii="Times New Roman" w:hAnsi="Times New Roman"/>
          <w:i/>
          <w:sz w:val="24"/>
        </w:rPr>
        <w:t xml:space="preserve">4. </w:t>
      </w:r>
      <w:r w:rsidRPr="00091691">
        <w:rPr>
          <w:rFonts w:ascii="Times New Roman" w:hAnsi="Times New Roman"/>
          <w:i/>
          <w:sz w:val="24"/>
        </w:rPr>
        <w:tab/>
        <w:t xml:space="preserve">Overige opmerkingen </w:t>
      </w:r>
    </w:p>
    <w:p w14:paraId="6A905E7C" w14:textId="77777777" w:rsidR="000D29B3" w:rsidRPr="00091691" w:rsidRDefault="000D29B3" w:rsidP="000D29B3">
      <w:pPr>
        <w:rPr>
          <w:rFonts w:ascii="Times New Roman" w:hAnsi="Times New Roman"/>
          <w:i/>
          <w:sz w:val="24"/>
        </w:rPr>
      </w:pPr>
    </w:p>
    <w:p w14:paraId="3F85B495" w14:textId="77777777" w:rsidR="000D29B3" w:rsidRPr="00091691" w:rsidRDefault="000D29B3" w:rsidP="000D29B3">
      <w:pPr>
        <w:rPr>
          <w:rFonts w:ascii="Times New Roman" w:hAnsi="Times New Roman"/>
          <w:i/>
          <w:sz w:val="24"/>
        </w:rPr>
      </w:pPr>
      <w:r w:rsidRPr="00091691">
        <w:rPr>
          <w:rFonts w:ascii="Times New Roman" w:hAnsi="Times New Roman"/>
          <w:i/>
          <w:sz w:val="24"/>
        </w:rPr>
        <w:t xml:space="preserve">Onverminderd het voorgaande maakt de Afdeling thans nog opmerkingen over enkele andere aspecten van het wetsvoorstel. </w:t>
      </w:r>
    </w:p>
    <w:p w14:paraId="076D8370" w14:textId="77777777" w:rsidR="000D29B3" w:rsidRPr="00091691" w:rsidRDefault="000D29B3" w:rsidP="000D29B3">
      <w:pPr>
        <w:rPr>
          <w:rFonts w:ascii="Times New Roman" w:hAnsi="Times New Roman"/>
          <w:i/>
          <w:sz w:val="24"/>
        </w:rPr>
      </w:pPr>
    </w:p>
    <w:p w14:paraId="0F5801DC" w14:textId="77777777" w:rsidR="000D29B3" w:rsidRPr="00091691" w:rsidRDefault="000D29B3" w:rsidP="000D29B3">
      <w:pPr>
        <w:rPr>
          <w:rFonts w:ascii="Times New Roman" w:hAnsi="Times New Roman"/>
          <w:i/>
          <w:sz w:val="24"/>
        </w:rPr>
      </w:pPr>
      <w:r w:rsidRPr="00091691">
        <w:rPr>
          <w:rFonts w:ascii="Times New Roman" w:hAnsi="Times New Roman"/>
          <w:i/>
          <w:sz w:val="24"/>
        </w:rPr>
        <w:t>a.</w:t>
      </w:r>
      <w:r w:rsidRPr="00091691">
        <w:rPr>
          <w:rFonts w:ascii="Times New Roman" w:hAnsi="Times New Roman"/>
          <w:i/>
          <w:sz w:val="24"/>
        </w:rPr>
        <w:tab/>
        <w:t>Algemene zorgplicht</w:t>
      </w:r>
    </w:p>
    <w:p w14:paraId="3E4C01CE" w14:textId="77777777" w:rsidR="000D29B3" w:rsidRPr="00091691" w:rsidRDefault="000D29B3" w:rsidP="000D29B3">
      <w:pPr>
        <w:rPr>
          <w:rFonts w:ascii="Times New Roman" w:hAnsi="Times New Roman"/>
          <w:i/>
          <w:sz w:val="24"/>
        </w:rPr>
      </w:pPr>
      <w:r w:rsidRPr="00091691">
        <w:rPr>
          <w:rFonts w:ascii="Times New Roman" w:hAnsi="Times New Roman"/>
          <w:i/>
          <w:sz w:val="24"/>
        </w:rPr>
        <w:t xml:space="preserve">De Afdeling constateert dat de voorgestelde algemene zorgplicht in feite een toespitsing vormt van de reeds bestaande norm om niet in strijd te handelen met hetgeen volgens ongeschreven recht in het maatschappelijk verkeer betaamt, zoals omschreven in de wetsbepaling over de onrechtmatige daad.  </w:t>
      </w:r>
    </w:p>
    <w:p w14:paraId="04EE0E1C" w14:textId="77777777" w:rsidR="000D29B3" w:rsidRPr="00091691" w:rsidRDefault="000D29B3" w:rsidP="000D29B3">
      <w:pPr>
        <w:rPr>
          <w:rFonts w:ascii="Times New Roman" w:hAnsi="Times New Roman"/>
          <w:i/>
          <w:sz w:val="24"/>
        </w:rPr>
      </w:pPr>
    </w:p>
    <w:p w14:paraId="3BA00C95" w14:textId="77777777" w:rsidR="000D29B3" w:rsidRPr="00091691" w:rsidRDefault="000D29B3" w:rsidP="000D29B3">
      <w:pPr>
        <w:rPr>
          <w:rFonts w:ascii="Times New Roman" w:hAnsi="Times New Roman"/>
          <w:i/>
          <w:sz w:val="24"/>
        </w:rPr>
      </w:pPr>
      <w:r w:rsidRPr="00091691">
        <w:rPr>
          <w:rFonts w:ascii="Times New Roman" w:hAnsi="Times New Roman"/>
          <w:i/>
          <w:sz w:val="24"/>
        </w:rPr>
        <w:lastRenderedPageBreak/>
        <w:t xml:space="preserve">Het gaat hier om een open norm, die civielrechtelijk kan worden gehandhaafd, zowel door individuele benadeelden als door belangenbehartigers. Op basis van deze zorgplicht is een onrechtmatige daadsactie mogelijk. Daarnaast behoren bijvoorbeeld het vorderen van een verklaring voor recht of een bevelsactie tot nakoming, al dan niet via een collectieve actie, tot de mogelijkheden. </w:t>
      </w:r>
    </w:p>
    <w:p w14:paraId="060F83C1" w14:textId="77777777" w:rsidR="000D29B3" w:rsidRPr="00091691" w:rsidRDefault="000D29B3" w:rsidP="000D29B3">
      <w:pPr>
        <w:rPr>
          <w:rFonts w:ascii="Times New Roman" w:hAnsi="Times New Roman"/>
          <w:i/>
          <w:sz w:val="24"/>
        </w:rPr>
      </w:pPr>
    </w:p>
    <w:p w14:paraId="1C3E2B81" w14:textId="77777777" w:rsidR="000D29B3" w:rsidRPr="00091691" w:rsidRDefault="000D29B3" w:rsidP="000D29B3">
      <w:pPr>
        <w:rPr>
          <w:rFonts w:ascii="Times New Roman" w:hAnsi="Times New Roman"/>
          <w:i/>
          <w:sz w:val="24"/>
        </w:rPr>
      </w:pPr>
      <w:r w:rsidRPr="00091691">
        <w:rPr>
          <w:rFonts w:ascii="Times New Roman" w:hAnsi="Times New Roman"/>
          <w:i/>
          <w:sz w:val="24"/>
        </w:rPr>
        <w:t xml:space="preserve">Een dergelijke open norm is niet ongebruikelijk in het civiele recht. Maar naarmate er meer wordt verlangd van ondernemingen, dient deze norm voldoende duidelijk te worden ingevuld om eraan te kunnen voldoen en om in rechte te kunnen worden gehandhaafd. De toelichting werkt dit nog onvoldoende uit. </w:t>
      </w:r>
    </w:p>
    <w:p w14:paraId="1817A3AC" w14:textId="77777777" w:rsidR="000D29B3" w:rsidRPr="00091691" w:rsidRDefault="000D29B3" w:rsidP="000D29B3">
      <w:pPr>
        <w:rPr>
          <w:rFonts w:ascii="Times New Roman" w:hAnsi="Times New Roman"/>
          <w:i/>
          <w:sz w:val="24"/>
        </w:rPr>
      </w:pPr>
    </w:p>
    <w:p w14:paraId="5DEEAC9D" w14:textId="77777777" w:rsidR="000D29B3" w:rsidRPr="00091691" w:rsidRDefault="000D29B3" w:rsidP="000D29B3">
      <w:pPr>
        <w:rPr>
          <w:rFonts w:ascii="Times New Roman" w:hAnsi="Times New Roman"/>
          <w:i/>
          <w:sz w:val="24"/>
        </w:rPr>
      </w:pPr>
      <w:r w:rsidRPr="00091691">
        <w:rPr>
          <w:rFonts w:ascii="Times New Roman" w:hAnsi="Times New Roman"/>
          <w:i/>
          <w:sz w:val="24"/>
        </w:rPr>
        <w:t xml:space="preserve">De Afdeling adviseert om in de toelichting op het voorgaande in te gaan. </w:t>
      </w:r>
    </w:p>
    <w:p w14:paraId="2860E68B" w14:textId="77777777" w:rsidR="000D29B3" w:rsidRPr="000D29B3" w:rsidRDefault="000D29B3" w:rsidP="000D29B3">
      <w:pPr>
        <w:rPr>
          <w:rFonts w:ascii="Times New Roman" w:hAnsi="Times New Roman"/>
          <w:sz w:val="24"/>
        </w:rPr>
      </w:pPr>
    </w:p>
    <w:p w14:paraId="28791E5E" w14:textId="77777777" w:rsidR="00091691" w:rsidRPr="00BD4EBC" w:rsidRDefault="00091691" w:rsidP="00091691">
      <w:pPr>
        <w:rPr>
          <w:rFonts w:ascii="Times New Roman" w:hAnsi="Times New Roman"/>
          <w:b/>
          <w:sz w:val="24"/>
        </w:rPr>
      </w:pPr>
      <w:r w:rsidRPr="00BD4EBC">
        <w:rPr>
          <w:rFonts w:ascii="Times New Roman" w:hAnsi="Times New Roman"/>
          <w:b/>
          <w:sz w:val="24"/>
        </w:rPr>
        <w:t xml:space="preserve">Reactie: </w:t>
      </w:r>
    </w:p>
    <w:p w14:paraId="3D49E17E" w14:textId="77777777" w:rsidR="003C3C74" w:rsidRPr="00BD4EBC" w:rsidRDefault="003C3C74" w:rsidP="009E72BC">
      <w:pPr>
        <w:rPr>
          <w:rFonts w:ascii="Times New Roman" w:hAnsi="Times New Roman"/>
          <w:sz w:val="24"/>
        </w:rPr>
      </w:pPr>
    </w:p>
    <w:p w14:paraId="498EB4A5" w14:textId="75D5C8CF" w:rsidR="00A60D5C" w:rsidRPr="00BD4EBC" w:rsidRDefault="009E72BC" w:rsidP="009E72BC">
      <w:pPr>
        <w:rPr>
          <w:rFonts w:ascii="Times New Roman" w:hAnsi="Times New Roman"/>
          <w:sz w:val="24"/>
        </w:rPr>
      </w:pPr>
      <w:r w:rsidRPr="00BD4EBC">
        <w:rPr>
          <w:rFonts w:ascii="Times New Roman" w:hAnsi="Times New Roman"/>
          <w:sz w:val="24"/>
        </w:rPr>
        <w:t xml:space="preserve">De initiatiefnemers </w:t>
      </w:r>
      <w:r w:rsidR="003C3C74" w:rsidRPr="00BD4EBC">
        <w:rPr>
          <w:rFonts w:ascii="Times New Roman" w:hAnsi="Times New Roman"/>
          <w:sz w:val="24"/>
        </w:rPr>
        <w:t xml:space="preserve">hebben dit advies overgenomen en </w:t>
      </w:r>
      <w:r w:rsidRPr="00BD4EBC">
        <w:rPr>
          <w:rFonts w:ascii="Times New Roman" w:hAnsi="Times New Roman"/>
          <w:sz w:val="24"/>
        </w:rPr>
        <w:t xml:space="preserve">zijn </w:t>
      </w:r>
      <w:r w:rsidR="00A60D5C" w:rsidRPr="00BD4EBC">
        <w:rPr>
          <w:rFonts w:ascii="Times New Roman" w:hAnsi="Times New Roman"/>
          <w:sz w:val="24"/>
        </w:rPr>
        <w:t xml:space="preserve">in de memorie van toelichting </w:t>
      </w:r>
      <w:r w:rsidR="003C3C74" w:rsidRPr="00BD4EBC">
        <w:rPr>
          <w:rFonts w:ascii="Times New Roman" w:hAnsi="Times New Roman"/>
          <w:sz w:val="24"/>
        </w:rPr>
        <w:t xml:space="preserve">bij </w:t>
      </w:r>
      <w:r w:rsidRPr="00BD4EBC">
        <w:rPr>
          <w:rFonts w:ascii="Times New Roman" w:hAnsi="Times New Roman"/>
          <w:sz w:val="24"/>
        </w:rPr>
        <w:t xml:space="preserve"> artikel 1.2 hier nader op ingegaan. </w:t>
      </w:r>
      <w:r w:rsidR="003C3C74" w:rsidRPr="00BD4EBC">
        <w:rPr>
          <w:rFonts w:ascii="Times New Roman" w:hAnsi="Times New Roman"/>
          <w:sz w:val="24"/>
        </w:rPr>
        <w:t xml:space="preserve">Daarnaast </w:t>
      </w:r>
      <w:r w:rsidRPr="00BD4EBC">
        <w:rPr>
          <w:rFonts w:ascii="Times New Roman" w:hAnsi="Times New Roman"/>
          <w:sz w:val="24"/>
        </w:rPr>
        <w:t xml:space="preserve">wijzen </w:t>
      </w:r>
      <w:r w:rsidR="003C3C74" w:rsidRPr="00BD4EBC">
        <w:rPr>
          <w:rFonts w:ascii="Times New Roman" w:hAnsi="Times New Roman"/>
          <w:sz w:val="24"/>
        </w:rPr>
        <w:t>zij er</w:t>
      </w:r>
      <w:r w:rsidRPr="00BD4EBC">
        <w:rPr>
          <w:rFonts w:ascii="Times New Roman" w:hAnsi="Times New Roman"/>
          <w:sz w:val="24"/>
        </w:rPr>
        <w:t xml:space="preserve"> op dat zorgplichten al langer gelden in Nederlandse wetgeving, zoals in de Wet bodembescherming</w:t>
      </w:r>
      <w:r w:rsidR="00501783" w:rsidRPr="00BD4EBC">
        <w:rPr>
          <w:rFonts w:ascii="Times New Roman" w:hAnsi="Times New Roman"/>
          <w:sz w:val="24"/>
        </w:rPr>
        <w:t>, de Wet bescherming Antartica</w:t>
      </w:r>
      <w:r w:rsidR="001C1518" w:rsidRPr="00BD4EBC">
        <w:rPr>
          <w:rFonts w:ascii="Times New Roman" w:hAnsi="Times New Roman"/>
          <w:sz w:val="24"/>
        </w:rPr>
        <w:t xml:space="preserve"> en</w:t>
      </w:r>
      <w:r w:rsidRPr="00BD4EBC">
        <w:rPr>
          <w:rFonts w:ascii="Times New Roman" w:hAnsi="Times New Roman"/>
          <w:sz w:val="24"/>
        </w:rPr>
        <w:t xml:space="preserve"> de Woningwet.  Bij de toepassing van de</w:t>
      </w:r>
      <w:r w:rsidR="001C1518" w:rsidRPr="00BD4EBC">
        <w:rPr>
          <w:rFonts w:ascii="Times New Roman" w:hAnsi="Times New Roman"/>
          <w:sz w:val="24"/>
        </w:rPr>
        <w:t>ze</w:t>
      </w:r>
      <w:r w:rsidRPr="00BD4EBC">
        <w:rPr>
          <w:rFonts w:ascii="Times New Roman" w:hAnsi="Times New Roman"/>
          <w:sz w:val="24"/>
        </w:rPr>
        <w:t xml:space="preserve"> algemene zorgplichten is niet gebleken dat de open norm tot rechtsonzekerheid heeft geleid. </w:t>
      </w:r>
    </w:p>
    <w:p w14:paraId="02B4F623" w14:textId="77777777" w:rsidR="00091691" w:rsidRDefault="00091691" w:rsidP="000D29B3">
      <w:pPr>
        <w:rPr>
          <w:rFonts w:ascii="Times New Roman" w:hAnsi="Times New Roman"/>
          <w:sz w:val="24"/>
        </w:rPr>
      </w:pPr>
    </w:p>
    <w:p w14:paraId="7353482C" w14:textId="77777777" w:rsidR="000D29B3" w:rsidRPr="00761225" w:rsidRDefault="000D29B3" w:rsidP="000D29B3">
      <w:pPr>
        <w:rPr>
          <w:rFonts w:ascii="Times New Roman" w:hAnsi="Times New Roman"/>
          <w:i/>
          <w:sz w:val="24"/>
        </w:rPr>
      </w:pPr>
      <w:r w:rsidRPr="00761225">
        <w:rPr>
          <w:rFonts w:ascii="Times New Roman" w:hAnsi="Times New Roman"/>
          <w:i/>
          <w:sz w:val="24"/>
        </w:rPr>
        <w:t>b.</w:t>
      </w:r>
      <w:r w:rsidRPr="00761225">
        <w:rPr>
          <w:rFonts w:ascii="Times New Roman" w:hAnsi="Times New Roman"/>
          <w:i/>
          <w:sz w:val="24"/>
        </w:rPr>
        <w:tab/>
        <w:t xml:space="preserve">Buitenlandse ondernemingen </w:t>
      </w:r>
    </w:p>
    <w:p w14:paraId="5D04A750" w14:textId="5BC4B63C" w:rsidR="000D29B3" w:rsidRPr="00761225" w:rsidRDefault="000D29B3" w:rsidP="000D29B3">
      <w:pPr>
        <w:rPr>
          <w:rFonts w:ascii="Times New Roman" w:hAnsi="Times New Roman"/>
          <w:i/>
          <w:sz w:val="24"/>
        </w:rPr>
      </w:pPr>
      <w:r w:rsidRPr="00761225">
        <w:rPr>
          <w:rFonts w:ascii="Times New Roman" w:hAnsi="Times New Roman"/>
          <w:i/>
          <w:sz w:val="24"/>
        </w:rPr>
        <w:t xml:space="preserve">De Afdeling stelt vragen bij de toepasselijkheid van de wet op buitenlandse ondernemingen.  De toelichting geeft aan dat deze uitbreiding in een laat stadium van het proces is toegevoegd  en geeft voorts weinig houvast op welke ondernemingen precies wordt gedoeld. In het bijzonder is onduidelijk wat de exacte inhoud is van de begrippen ‘activiteit’ en ‘product’.  Is bijvoorbeeld een buitenlandse pakketleverancier een </w:t>
      </w:r>
      <w:r w:rsidR="00C06636">
        <w:rPr>
          <w:rFonts w:ascii="Times New Roman" w:hAnsi="Times New Roman"/>
          <w:i/>
          <w:sz w:val="24"/>
        </w:rPr>
        <w:t>onderneming</w:t>
      </w:r>
      <w:r w:rsidRPr="00761225">
        <w:rPr>
          <w:rFonts w:ascii="Times New Roman" w:hAnsi="Times New Roman"/>
          <w:i/>
          <w:sz w:val="24"/>
        </w:rPr>
        <w:t xml:space="preserve"> dat een product levert of ‘slechts’ een tussenpersoon? Daarnaast geldt ten aanzien van buitenlandse ondernemingen in versterkte mate de vraag op welke wijze effectief gehandhaafd kan worden. </w:t>
      </w:r>
    </w:p>
    <w:p w14:paraId="1693850D" w14:textId="77777777" w:rsidR="000D29B3" w:rsidRPr="00761225" w:rsidRDefault="000D29B3" w:rsidP="000D29B3">
      <w:pPr>
        <w:rPr>
          <w:rFonts w:ascii="Times New Roman" w:hAnsi="Times New Roman"/>
          <w:i/>
          <w:sz w:val="24"/>
        </w:rPr>
      </w:pPr>
    </w:p>
    <w:p w14:paraId="34640729" w14:textId="77777777" w:rsidR="000D29B3" w:rsidRPr="00761225" w:rsidRDefault="000D29B3" w:rsidP="000D29B3">
      <w:pPr>
        <w:rPr>
          <w:rFonts w:ascii="Times New Roman" w:hAnsi="Times New Roman"/>
          <w:sz w:val="24"/>
        </w:rPr>
      </w:pPr>
      <w:r w:rsidRPr="00761225">
        <w:rPr>
          <w:rFonts w:ascii="Times New Roman" w:hAnsi="Times New Roman"/>
          <w:i/>
          <w:sz w:val="24"/>
        </w:rPr>
        <w:t>De Afdeling adviseert in dit verband om dragend te motiveren hoe buitenlandse ondernemingen moeten worden gedefinieerd en afgebakend en op welke wijze een effectieve handhaving ten aanzien van deze ondernemingen plaats kan vinden. Indien dit niet mogelijk is adviseert de Afdeling om het voorstel aan te passen door de buitenlandse ondernemingen uit te zonderen van dit voorstel en te wachten op Europese wetgeving alvorens voor deze categorie een wettelijke zorgplicht en brede gepaste zorgvuldigheidsverplichting te introduceren</w:t>
      </w:r>
      <w:r w:rsidRPr="00761225">
        <w:rPr>
          <w:rFonts w:ascii="Times New Roman" w:hAnsi="Times New Roman"/>
          <w:sz w:val="24"/>
        </w:rPr>
        <w:t xml:space="preserve">. </w:t>
      </w:r>
    </w:p>
    <w:p w14:paraId="7C7375A6" w14:textId="77777777" w:rsidR="000D29B3" w:rsidRPr="00761225" w:rsidRDefault="00091691" w:rsidP="000D29B3">
      <w:pPr>
        <w:rPr>
          <w:rFonts w:ascii="Times New Roman" w:hAnsi="Times New Roman"/>
          <w:sz w:val="24"/>
        </w:rPr>
      </w:pPr>
      <w:r w:rsidRPr="00761225">
        <w:rPr>
          <w:rFonts w:ascii="Times New Roman" w:hAnsi="Times New Roman"/>
          <w:sz w:val="24"/>
        </w:rPr>
        <w:t xml:space="preserve"> </w:t>
      </w:r>
    </w:p>
    <w:p w14:paraId="747565A0" w14:textId="419D743E" w:rsidR="00091691" w:rsidRPr="00BD4EBC" w:rsidRDefault="00091691" w:rsidP="000D29B3">
      <w:pPr>
        <w:rPr>
          <w:rFonts w:ascii="Times New Roman" w:hAnsi="Times New Roman"/>
          <w:b/>
          <w:sz w:val="24"/>
        </w:rPr>
      </w:pPr>
      <w:r w:rsidRPr="00BD4EBC">
        <w:rPr>
          <w:rFonts w:ascii="Times New Roman" w:hAnsi="Times New Roman"/>
          <w:b/>
          <w:sz w:val="24"/>
        </w:rPr>
        <w:t xml:space="preserve">Reactie: </w:t>
      </w:r>
    </w:p>
    <w:p w14:paraId="508158B2" w14:textId="0D348D44" w:rsidR="00D841C7" w:rsidRPr="00BD4EBC" w:rsidRDefault="00D841C7" w:rsidP="000D29B3">
      <w:pPr>
        <w:rPr>
          <w:rFonts w:ascii="Times New Roman" w:hAnsi="Times New Roman"/>
          <w:b/>
          <w:sz w:val="24"/>
        </w:rPr>
      </w:pPr>
    </w:p>
    <w:p w14:paraId="58C0A1F1" w14:textId="49CBBE66" w:rsidR="00BD7A5A" w:rsidRPr="00BD4EBC" w:rsidRDefault="00D841C7" w:rsidP="00E82398">
      <w:pPr>
        <w:rPr>
          <w:rFonts w:ascii="Times New Roman" w:hAnsi="Times New Roman"/>
          <w:sz w:val="24"/>
        </w:rPr>
      </w:pPr>
      <w:r w:rsidRPr="00BD4EBC">
        <w:rPr>
          <w:rFonts w:ascii="Times New Roman" w:hAnsi="Times New Roman"/>
          <w:bCs/>
          <w:sz w:val="24"/>
        </w:rPr>
        <w:t>In de voorbereidende fase van dit wetsvoorstel is de initiatiefnemers vanuit verschillende partijen</w:t>
      </w:r>
      <w:r w:rsidR="00156094" w:rsidRPr="00BD4EBC">
        <w:rPr>
          <w:rFonts w:ascii="Times New Roman" w:hAnsi="Times New Roman"/>
          <w:bCs/>
          <w:sz w:val="24"/>
        </w:rPr>
        <w:t xml:space="preserve"> (het MVO-Platform, VNO-NCW en </w:t>
      </w:r>
      <w:r w:rsidR="00FE430E" w:rsidRPr="00BD4EBC">
        <w:rPr>
          <w:rFonts w:ascii="Times New Roman" w:hAnsi="Times New Roman"/>
          <w:bCs/>
          <w:sz w:val="24"/>
        </w:rPr>
        <w:t>het</w:t>
      </w:r>
      <w:r w:rsidR="00156094" w:rsidRPr="00BD4EBC">
        <w:rPr>
          <w:rFonts w:ascii="Times New Roman" w:hAnsi="Times New Roman"/>
          <w:bCs/>
          <w:sz w:val="24"/>
        </w:rPr>
        <w:t xml:space="preserve"> ATR</w:t>
      </w:r>
      <w:r w:rsidR="002419A6" w:rsidRPr="00BD4EBC">
        <w:rPr>
          <w:rFonts w:ascii="Times New Roman" w:hAnsi="Times New Roman"/>
          <w:bCs/>
          <w:sz w:val="24"/>
        </w:rPr>
        <w:t>, zie § 7.2 van het algemeen deel van de memorie van toelichting</w:t>
      </w:r>
      <w:r w:rsidR="00156094" w:rsidRPr="00BD4EBC">
        <w:rPr>
          <w:rFonts w:ascii="Times New Roman" w:hAnsi="Times New Roman"/>
          <w:bCs/>
          <w:sz w:val="24"/>
        </w:rPr>
        <w:t>)</w:t>
      </w:r>
      <w:r w:rsidRPr="00BD4EBC">
        <w:rPr>
          <w:rFonts w:ascii="Times New Roman" w:hAnsi="Times New Roman"/>
          <w:bCs/>
          <w:sz w:val="24"/>
        </w:rPr>
        <w:t xml:space="preserve"> aangeraden de</w:t>
      </w:r>
      <w:r w:rsidR="00156094" w:rsidRPr="00BD4EBC">
        <w:rPr>
          <w:rFonts w:ascii="Times New Roman" w:hAnsi="Times New Roman"/>
          <w:bCs/>
          <w:sz w:val="24"/>
        </w:rPr>
        <w:t xml:space="preserve"> bepalingen van dit wetsvoorstel ook toe te passen op </w:t>
      </w:r>
      <w:r w:rsidRPr="00BD4EBC">
        <w:rPr>
          <w:rFonts w:ascii="Times New Roman" w:hAnsi="Times New Roman"/>
          <w:bCs/>
          <w:sz w:val="24"/>
        </w:rPr>
        <w:t>buitenlandse</w:t>
      </w:r>
      <w:r w:rsidR="00156094" w:rsidRPr="00BD4EBC">
        <w:rPr>
          <w:rFonts w:ascii="Times New Roman" w:hAnsi="Times New Roman"/>
          <w:bCs/>
          <w:sz w:val="24"/>
        </w:rPr>
        <w:t xml:space="preserve"> ondernemingen. De belangrijkste reden daarvoor is om ervoor te zorgen dat buitenlandse ondernemingen geen voordeel boven Nederlandse ondernemingen zouden hebben wanneer deze bepalingen niet voor hen zouden gelden. Het gaat</w:t>
      </w:r>
      <w:r w:rsidR="00E82398" w:rsidRPr="00BD4EBC">
        <w:rPr>
          <w:rFonts w:ascii="Times New Roman" w:hAnsi="Times New Roman"/>
          <w:bCs/>
          <w:sz w:val="24"/>
        </w:rPr>
        <w:t>,</w:t>
      </w:r>
      <w:r w:rsidR="00156094" w:rsidRPr="00BD4EBC">
        <w:rPr>
          <w:rFonts w:ascii="Times New Roman" w:hAnsi="Times New Roman"/>
          <w:bCs/>
          <w:sz w:val="24"/>
        </w:rPr>
        <w:t xml:space="preserve"> met andere woorden</w:t>
      </w:r>
      <w:r w:rsidR="00E82398" w:rsidRPr="00BD4EBC">
        <w:rPr>
          <w:rFonts w:ascii="Times New Roman" w:hAnsi="Times New Roman"/>
          <w:bCs/>
          <w:sz w:val="24"/>
        </w:rPr>
        <w:t>,</w:t>
      </w:r>
      <w:r w:rsidR="00156094" w:rsidRPr="00BD4EBC">
        <w:rPr>
          <w:rFonts w:ascii="Times New Roman" w:hAnsi="Times New Roman"/>
          <w:bCs/>
          <w:sz w:val="24"/>
        </w:rPr>
        <w:t xml:space="preserve"> om het behouden van een gelijk speelveld. </w:t>
      </w:r>
      <w:r w:rsidR="00E82398" w:rsidRPr="00BD4EBC">
        <w:rPr>
          <w:rFonts w:ascii="Times New Roman" w:hAnsi="Times New Roman"/>
          <w:sz w:val="24"/>
        </w:rPr>
        <w:t xml:space="preserve">Toepassing op Nederlandse en buitenlandse ondernemingen zou ook </w:t>
      </w:r>
      <w:r w:rsidR="00E32326" w:rsidRPr="00BD4EBC">
        <w:rPr>
          <w:rFonts w:ascii="Times New Roman" w:hAnsi="Times New Roman"/>
          <w:sz w:val="24"/>
        </w:rPr>
        <w:t xml:space="preserve">een mogelijke prikkel tot </w:t>
      </w:r>
      <w:r w:rsidR="00BD7A5A" w:rsidRPr="00BD4EBC">
        <w:rPr>
          <w:rFonts w:ascii="Times New Roman" w:hAnsi="Times New Roman"/>
          <w:sz w:val="24"/>
        </w:rPr>
        <w:t xml:space="preserve">verplaatsing </w:t>
      </w:r>
      <w:r w:rsidR="00E32326" w:rsidRPr="00BD4EBC">
        <w:rPr>
          <w:rFonts w:ascii="Times New Roman" w:hAnsi="Times New Roman"/>
          <w:sz w:val="24"/>
        </w:rPr>
        <w:t xml:space="preserve">van de </w:t>
      </w:r>
      <w:r w:rsidR="00BD7A5A" w:rsidRPr="00BD4EBC">
        <w:rPr>
          <w:rFonts w:ascii="Times New Roman" w:hAnsi="Times New Roman"/>
          <w:sz w:val="24"/>
        </w:rPr>
        <w:t>productieketen</w:t>
      </w:r>
      <w:r w:rsidR="00E25981" w:rsidRPr="00BD4EBC">
        <w:rPr>
          <w:rFonts w:ascii="Times New Roman" w:hAnsi="Times New Roman"/>
          <w:sz w:val="24"/>
        </w:rPr>
        <w:t xml:space="preserve"> naar het buitenland</w:t>
      </w:r>
      <w:r w:rsidR="008467B3" w:rsidRPr="00BD4EBC">
        <w:rPr>
          <w:rFonts w:ascii="Times New Roman" w:hAnsi="Times New Roman"/>
          <w:sz w:val="24"/>
        </w:rPr>
        <w:t xml:space="preserve"> kunnen helpen voorkomen. </w:t>
      </w:r>
    </w:p>
    <w:p w14:paraId="373859CD" w14:textId="77777777" w:rsidR="008467B3" w:rsidRPr="00BD4EBC" w:rsidRDefault="008467B3" w:rsidP="00E82398">
      <w:pPr>
        <w:rPr>
          <w:rFonts w:ascii="Times New Roman" w:hAnsi="Times New Roman"/>
          <w:bCs/>
          <w:sz w:val="24"/>
        </w:rPr>
      </w:pPr>
    </w:p>
    <w:p w14:paraId="7111876B" w14:textId="258593C7" w:rsidR="00BD7A5A" w:rsidRPr="00BD4EBC" w:rsidRDefault="008467B3" w:rsidP="008467B3">
      <w:pPr>
        <w:rPr>
          <w:rFonts w:ascii="Times New Roman" w:hAnsi="Times New Roman"/>
          <w:sz w:val="24"/>
        </w:rPr>
      </w:pPr>
      <w:r w:rsidRPr="00BD4EBC">
        <w:rPr>
          <w:rFonts w:ascii="Times New Roman" w:hAnsi="Times New Roman"/>
          <w:sz w:val="24"/>
        </w:rPr>
        <w:t xml:space="preserve">Naar aanleiding van het advies van de </w:t>
      </w:r>
      <w:r w:rsidR="007E5852" w:rsidRPr="00BD4EBC">
        <w:rPr>
          <w:rFonts w:ascii="Times New Roman" w:hAnsi="Times New Roman"/>
          <w:sz w:val="24"/>
        </w:rPr>
        <w:t>Afdeling</w:t>
      </w:r>
      <w:r w:rsidRPr="00BD4EBC">
        <w:rPr>
          <w:rFonts w:ascii="Times New Roman" w:hAnsi="Times New Roman"/>
          <w:sz w:val="24"/>
        </w:rPr>
        <w:t xml:space="preserve"> </w:t>
      </w:r>
      <w:r w:rsidR="001C1518" w:rsidRPr="00BD4EBC">
        <w:rPr>
          <w:rFonts w:ascii="Times New Roman" w:hAnsi="Times New Roman"/>
          <w:sz w:val="24"/>
        </w:rPr>
        <w:t xml:space="preserve">advisering </w:t>
      </w:r>
      <w:r w:rsidRPr="00BD4EBC">
        <w:rPr>
          <w:rFonts w:ascii="Times New Roman" w:hAnsi="Times New Roman"/>
          <w:sz w:val="24"/>
        </w:rPr>
        <w:t xml:space="preserve">hebben de initiatiefnemers </w:t>
      </w:r>
      <w:r w:rsidR="00BD7A5A" w:rsidRPr="00BD4EBC">
        <w:rPr>
          <w:rFonts w:ascii="Times New Roman" w:hAnsi="Times New Roman"/>
          <w:sz w:val="24"/>
        </w:rPr>
        <w:t xml:space="preserve">wel </w:t>
      </w:r>
      <w:r w:rsidRPr="00BD4EBC">
        <w:rPr>
          <w:rFonts w:ascii="Times New Roman" w:hAnsi="Times New Roman"/>
          <w:sz w:val="24"/>
        </w:rPr>
        <w:t xml:space="preserve">een </w:t>
      </w:r>
      <w:r w:rsidR="00BD7A5A" w:rsidRPr="00BD4EBC">
        <w:rPr>
          <w:rFonts w:ascii="Times New Roman" w:hAnsi="Times New Roman"/>
          <w:sz w:val="24"/>
        </w:rPr>
        <w:t>begripsbepaling opgenomen voor ‘buitenlandse ondernemingen’</w:t>
      </w:r>
      <w:r w:rsidR="007D1254" w:rsidRPr="00BD4EBC">
        <w:rPr>
          <w:rFonts w:ascii="Times New Roman" w:hAnsi="Times New Roman"/>
          <w:sz w:val="24"/>
        </w:rPr>
        <w:t>. Daarnaast hebben zij d</w:t>
      </w:r>
      <w:r w:rsidRPr="00BD4EBC">
        <w:rPr>
          <w:rFonts w:ascii="Times New Roman" w:hAnsi="Times New Roman"/>
          <w:sz w:val="24"/>
        </w:rPr>
        <w:t>e passage</w:t>
      </w:r>
      <w:r w:rsidR="00BD7A5A" w:rsidRPr="00BD4EBC">
        <w:rPr>
          <w:rFonts w:ascii="Times New Roman" w:hAnsi="Times New Roman"/>
          <w:sz w:val="24"/>
        </w:rPr>
        <w:t xml:space="preserve"> in de </w:t>
      </w:r>
      <w:r w:rsidR="001C1518" w:rsidRPr="00BD4EBC">
        <w:rPr>
          <w:rFonts w:ascii="Times New Roman" w:hAnsi="Times New Roman"/>
          <w:sz w:val="24"/>
        </w:rPr>
        <w:t>toelichting</w:t>
      </w:r>
      <w:r w:rsidR="00BD7A5A" w:rsidRPr="00BD4EBC">
        <w:rPr>
          <w:rFonts w:ascii="Times New Roman" w:hAnsi="Times New Roman"/>
          <w:sz w:val="24"/>
        </w:rPr>
        <w:t xml:space="preserve"> over handhaving jegens buitenlandse </w:t>
      </w:r>
      <w:r w:rsidR="00C06636" w:rsidRPr="00BD4EBC">
        <w:rPr>
          <w:rFonts w:ascii="Times New Roman" w:hAnsi="Times New Roman"/>
          <w:sz w:val="24"/>
        </w:rPr>
        <w:t>ondernemingen</w:t>
      </w:r>
      <w:r w:rsidR="00E305A9" w:rsidRPr="00BD4EBC">
        <w:rPr>
          <w:rFonts w:ascii="Times New Roman" w:hAnsi="Times New Roman"/>
          <w:sz w:val="24"/>
        </w:rPr>
        <w:t xml:space="preserve"> </w:t>
      </w:r>
      <w:r w:rsidRPr="00BD4EBC">
        <w:rPr>
          <w:rFonts w:ascii="Times New Roman" w:hAnsi="Times New Roman"/>
          <w:sz w:val="24"/>
        </w:rPr>
        <w:t xml:space="preserve">uitgebreid </w:t>
      </w:r>
      <w:r w:rsidR="00E305A9" w:rsidRPr="00BD4EBC">
        <w:rPr>
          <w:rFonts w:ascii="Times New Roman" w:hAnsi="Times New Roman"/>
          <w:sz w:val="24"/>
        </w:rPr>
        <w:t>(</w:t>
      </w:r>
      <w:r w:rsidRPr="00BD4EBC">
        <w:rPr>
          <w:rFonts w:ascii="Times New Roman" w:hAnsi="Times New Roman"/>
          <w:sz w:val="24"/>
        </w:rPr>
        <w:t xml:space="preserve">onder meer </w:t>
      </w:r>
      <w:r w:rsidR="00E305A9" w:rsidRPr="00BD4EBC">
        <w:rPr>
          <w:rFonts w:ascii="Times New Roman" w:hAnsi="Times New Roman"/>
          <w:sz w:val="24"/>
        </w:rPr>
        <w:t>door samenwerking met toezichthouders in het buitenland)</w:t>
      </w:r>
      <w:r w:rsidRPr="00BD4EBC">
        <w:rPr>
          <w:rFonts w:ascii="Times New Roman" w:hAnsi="Times New Roman"/>
          <w:sz w:val="24"/>
        </w:rPr>
        <w:t>.</w:t>
      </w:r>
      <w:r w:rsidR="007D1254" w:rsidRPr="00BD4EBC">
        <w:rPr>
          <w:rFonts w:ascii="Times New Roman" w:hAnsi="Times New Roman"/>
          <w:sz w:val="24"/>
        </w:rPr>
        <w:t xml:space="preserve"> </w:t>
      </w:r>
    </w:p>
    <w:p w14:paraId="48851127" w14:textId="77777777" w:rsidR="00BD7A5A" w:rsidRPr="00761225" w:rsidRDefault="00BD7A5A" w:rsidP="00BD7A5A">
      <w:pPr>
        <w:pStyle w:val="Lijstalinea"/>
        <w:rPr>
          <w:rFonts w:ascii="Times New Roman" w:hAnsi="Times New Roman"/>
          <w:sz w:val="24"/>
        </w:rPr>
      </w:pPr>
    </w:p>
    <w:p w14:paraId="33EFD39E" w14:textId="77777777" w:rsidR="000D29B3" w:rsidRPr="00761225" w:rsidRDefault="000D29B3" w:rsidP="000D29B3">
      <w:pPr>
        <w:rPr>
          <w:rFonts w:ascii="Times New Roman" w:hAnsi="Times New Roman"/>
          <w:i/>
          <w:sz w:val="24"/>
        </w:rPr>
      </w:pPr>
      <w:r w:rsidRPr="00761225">
        <w:rPr>
          <w:rFonts w:ascii="Times New Roman" w:hAnsi="Times New Roman"/>
          <w:i/>
          <w:sz w:val="24"/>
        </w:rPr>
        <w:t>c.</w:t>
      </w:r>
      <w:r w:rsidRPr="00761225">
        <w:rPr>
          <w:rFonts w:ascii="Times New Roman" w:hAnsi="Times New Roman"/>
          <w:i/>
          <w:sz w:val="24"/>
        </w:rPr>
        <w:tab/>
        <w:t>Positie van betrokkenen</w:t>
      </w:r>
    </w:p>
    <w:p w14:paraId="1296350F" w14:textId="5B12EE75" w:rsidR="000D29B3" w:rsidRPr="00761225" w:rsidRDefault="000D29B3" w:rsidP="000D29B3">
      <w:pPr>
        <w:rPr>
          <w:rFonts w:ascii="Times New Roman" w:hAnsi="Times New Roman"/>
          <w:i/>
          <w:sz w:val="24"/>
        </w:rPr>
      </w:pPr>
      <w:r w:rsidRPr="00761225">
        <w:rPr>
          <w:rFonts w:ascii="Times New Roman" w:hAnsi="Times New Roman"/>
          <w:i/>
          <w:sz w:val="24"/>
        </w:rPr>
        <w:t>Daarnaast vraagt de Afdeling aandacht voor de positie van betrokkenen die direct nadelen ondervinden van bepaald gedrag van ondernemingen, in het kader van civielrechtelijke acties. Het gaat dan – gezien de omschrijving van het begrip ‘betrokkene’ – inherent om mensen in een (ver) buitenland, vaak kwetsbare mensen. Het gaat bijvoorbeeld om kinderen of mensen die te lijden hebben onder dwangarbeid of uitbuiting.</w:t>
      </w:r>
    </w:p>
    <w:p w14:paraId="277E4011" w14:textId="77777777" w:rsidR="000D29B3" w:rsidRPr="00761225" w:rsidRDefault="000D29B3" w:rsidP="000D29B3">
      <w:pPr>
        <w:rPr>
          <w:rFonts w:ascii="Times New Roman" w:hAnsi="Times New Roman"/>
          <w:i/>
          <w:sz w:val="24"/>
        </w:rPr>
      </w:pPr>
    </w:p>
    <w:p w14:paraId="316C87D2" w14:textId="77777777" w:rsidR="000D29B3" w:rsidRPr="00761225" w:rsidRDefault="000D29B3" w:rsidP="000D29B3">
      <w:pPr>
        <w:rPr>
          <w:rFonts w:ascii="Times New Roman" w:hAnsi="Times New Roman"/>
          <w:i/>
          <w:sz w:val="24"/>
        </w:rPr>
      </w:pPr>
      <w:r w:rsidRPr="00761225">
        <w:rPr>
          <w:rFonts w:ascii="Times New Roman" w:hAnsi="Times New Roman"/>
          <w:i/>
          <w:sz w:val="24"/>
        </w:rPr>
        <w:t xml:space="preserve">Hoewel het voorstel erin voorziet dat maatschappelijke organisaties ook een rol spelen als het gaat om het signaleren van misstanden en het aanspreken van ondernemingen, geeft de wet de directe betrokkenen slechts materiële normen zonder concrete handvatten voor juridische procedures in Nederland. Hoe deze betrokkenen worden gefaciliteerd, bijvoorbeeld als het gaat om rechtsbijstand, inzagerecht, bewijsrecht en loketfunctie, wordt niet duidelijk in de toelichting omschreven. </w:t>
      </w:r>
    </w:p>
    <w:p w14:paraId="2BA34D3F" w14:textId="77777777" w:rsidR="000D29B3" w:rsidRPr="00761225" w:rsidRDefault="000D29B3" w:rsidP="000D29B3">
      <w:pPr>
        <w:rPr>
          <w:rFonts w:ascii="Times New Roman" w:hAnsi="Times New Roman"/>
          <w:i/>
          <w:sz w:val="24"/>
        </w:rPr>
      </w:pPr>
    </w:p>
    <w:p w14:paraId="32D72814" w14:textId="77777777" w:rsidR="000D29B3" w:rsidRPr="00761225" w:rsidRDefault="000D29B3" w:rsidP="000D29B3">
      <w:pPr>
        <w:rPr>
          <w:rFonts w:ascii="Times New Roman" w:hAnsi="Times New Roman"/>
          <w:sz w:val="24"/>
        </w:rPr>
      </w:pPr>
      <w:r w:rsidRPr="00761225">
        <w:rPr>
          <w:rFonts w:ascii="Times New Roman" w:hAnsi="Times New Roman"/>
          <w:i/>
          <w:sz w:val="24"/>
        </w:rPr>
        <w:t xml:space="preserve">De Afdeling adviseert in de toelichting op het bovenstaande in te gaan en het voorstel zo nodig aan te passen. </w:t>
      </w:r>
    </w:p>
    <w:p w14:paraId="032957F8" w14:textId="77777777" w:rsidR="000D29B3" w:rsidRPr="00761225" w:rsidRDefault="000D29B3" w:rsidP="000D29B3">
      <w:pPr>
        <w:rPr>
          <w:rFonts w:ascii="Times New Roman" w:hAnsi="Times New Roman"/>
          <w:sz w:val="24"/>
        </w:rPr>
      </w:pPr>
    </w:p>
    <w:p w14:paraId="64206A42" w14:textId="4347F738" w:rsidR="00BD7A5A" w:rsidRPr="00BD4EBC" w:rsidRDefault="00091691" w:rsidP="00091691">
      <w:pPr>
        <w:rPr>
          <w:rFonts w:ascii="Times New Roman" w:hAnsi="Times New Roman"/>
          <w:b/>
          <w:sz w:val="24"/>
        </w:rPr>
      </w:pPr>
      <w:r w:rsidRPr="00BD4EBC">
        <w:rPr>
          <w:rFonts w:ascii="Times New Roman" w:hAnsi="Times New Roman"/>
          <w:b/>
          <w:sz w:val="24"/>
        </w:rPr>
        <w:t xml:space="preserve">Reactie: </w:t>
      </w:r>
    </w:p>
    <w:p w14:paraId="3AE40A7F" w14:textId="59736AE0" w:rsidR="007601E4" w:rsidRPr="00BD4EBC" w:rsidRDefault="007601E4" w:rsidP="00091691">
      <w:pPr>
        <w:rPr>
          <w:rFonts w:ascii="Times New Roman" w:hAnsi="Times New Roman"/>
          <w:b/>
          <w:sz w:val="24"/>
        </w:rPr>
      </w:pPr>
    </w:p>
    <w:p w14:paraId="6EDA4805" w14:textId="38C6520A" w:rsidR="00091691" w:rsidRPr="00BD4EBC" w:rsidRDefault="00B76389" w:rsidP="000D29B3">
      <w:pPr>
        <w:rPr>
          <w:rFonts w:ascii="Times New Roman" w:hAnsi="Times New Roman"/>
          <w:sz w:val="24"/>
        </w:rPr>
      </w:pPr>
      <w:r w:rsidRPr="00BD4EBC">
        <w:rPr>
          <w:rFonts w:ascii="Times New Roman" w:hAnsi="Times New Roman"/>
          <w:sz w:val="24"/>
        </w:rPr>
        <w:t xml:space="preserve">De initiatiefnemers hebben dit advies overgenomen. </w:t>
      </w:r>
      <w:r w:rsidRPr="00BD4EBC">
        <w:rPr>
          <w:rFonts w:ascii="Times New Roman" w:hAnsi="Times New Roman"/>
          <w:bCs/>
          <w:sz w:val="24"/>
        </w:rPr>
        <w:t>De</w:t>
      </w:r>
      <w:r w:rsidR="007601E4" w:rsidRPr="00BD4EBC">
        <w:rPr>
          <w:rFonts w:ascii="Times New Roman" w:hAnsi="Times New Roman"/>
          <w:sz w:val="24"/>
        </w:rPr>
        <w:t xml:space="preserve"> positie van betrokkenen </w:t>
      </w:r>
      <w:r w:rsidRPr="00BD4EBC">
        <w:rPr>
          <w:rFonts w:ascii="Times New Roman" w:hAnsi="Times New Roman"/>
          <w:sz w:val="24"/>
        </w:rPr>
        <w:t xml:space="preserve">is </w:t>
      </w:r>
      <w:r w:rsidR="007601E4" w:rsidRPr="00BD4EBC">
        <w:rPr>
          <w:rFonts w:ascii="Times New Roman" w:hAnsi="Times New Roman"/>
          <w:sz w:val="24"/>
        </w:rPr>
        <w:t xml:space="preserve">op diverse </w:t>
      </w:r>
      <w:r w:rsidRPr="00BD4EBC">
        <w:rPr>
          <w:rFonts w:ascii="Times New Roman" w:hAnsi="Times New Roman"/>
          <w:sz w:val="24"/>
        </w:rPr>
        <w:t xml:space="preserve">onderdelen </w:t>
      </w:r>
      <w:r w:rsidR="007601E4" w:rsidRPr="00BD4EBC">
        <w:rPr>
          <w:rFonts w:ascii="Times New Roman" w:hAnsi="Times New Roman"/>
          <w:sz w:val="24"/>
        </w:rPr>
        <w:t>in hoofdstuk 2 versterkt</w:t>
      </w:r>
      <w:r w:rsidR="008B6DEE" w:rsidRPr="00BD4EBC">
        <w:rPr>
          <w:rFonts w:ascii="Times New Roman" w:hAnsi="Times New Roman"/>
          <w:sz w:val="24"/>
        </w:rPr>
        <w:t xml:space="preserve"> bij de diverse verplichtingen voor gepaste zorgvuldigheid</w:t>
      </w:r>
      <w:r w:rsidR="00EA7BC1" w:rsidRPr="00BD4EBC">
        <w:rPr>
          <w:rFonts w:ascii="Times New Roman" w:hAnsi="Times New Roman"/>
          <w:sz w:val="24"/>
        </w:rPr>
        <w:t xml:space="preserve">, met name </w:t>
      </w:r>
      <w:r w:rsidRPr="00BD4EBC">
        <w:rPr>
          <w:rFonts w:ascii="Times New Roman" w:hAnsi="Times New Roman"/>
          <w:sz w:val="24"/>
        </w:rPr>
        <w:t xml:space="preserve">in </w:t>
      </w:r>
      <w:r w:rsidR="002419A6" w:rsidRPr="00BD4EBC">
        <w:rPr>
          <w:rFonts w:ascii="Times New Roman" w:hAnsi="Times New Roman"/>
          <w:sz w:val="24"/>
        </w:rPr>
        <w:t>de artikelen 2.2.1</w:t>
      </w:r>
      <w:r w:rsidR="00265558" w:rsidRPr="00BD4EBC">
        <w:rPr>
          <w:rFonts w:ascii="Times New Roman" w:hAnsi="Times New Roman"/>
          <w:sz w:val="24"/>
        </w:rPr>
        <w:t>, 2.3.1, 2.4.3, 2.4.4, 2.5.1 en, 2.7.1.</w:t>
      </w:r>
      <w:r w:rsidR="003A74B3" w:rsidRPr="00BD4EBC">
        <w:rPr>
          <w:rFonts w:ascii="Times New Roman" w:hAnsi="Times New Roman"/>
          <w:sz w:val="24"/>
        </w:rPr>
        <w:t xml:space="preserve"> Ook de publicatieplicht in de lokale taal in de artikelen 2.2.1, 2.4.3, 2.6.1 en 2.7.1 draagt daaraan bij.</w:t>
      </w:r>
      <w:r w:rsidR="007601E4" w:rsidRPr="00BD4EBC">
        <w:rPr>
          <w:rFonts w:ascii="Times New Roman" w:hAnsi="Times New Roman"/>
          <w:sz w:val="24"/>
        </w:rPr>
        <w:t xml:space="preserve"> </w:t>
      </w:r>
    </w:p>
    <w:p w14:paraId="2B460AD2" w14:textId="3919F52E" w:rsidR="008B6DEE" w:rsidRPr="00BD4EBC" w:rsidRDefault="008B6DEE" w:rsidP="000D29B3">
      <w:pPr>
        <w:rPr>
          <w:rFonts w:ascii="Times New Roman" w:hAnsi="Times New Roman"/>
          <w:sz w:val="24"/>
        </w:rPr>
      </w:pPr>
    </w:p>
    <w:p w14:paraId="33DFA5DA" w14:textId="6B1AC3A8" w:rsidR="008B6DEE" w:rsidRPr="00BD4EBC" w:rsidRDefault="008B6DEE" w:rsidP="000D29B3">
      <w:pPr>
        <w:rPr>
          <w:rFonts w:ascii="Times New Roman" w:hAnsi="Times New Roman"/>
          <w:sz w:val="24"/>
        </w:rPr>
      </w:pPr>
      <w:r w:rsidRPr="00BD4EBC">
        <w:rPr>
          <w:rFonts w:ascii="Times New Roman" w:hAnsi="Times New Roman"/>
          <w:sz w:val="24"/>
        </w:rPr>
        <w:t xml:space="preserve">Daarnaast hebben de initiatiefnemers </w:t>
      </w:r>
      <w:r w:rsidR="00A74C67" w:rsidRPr="00BD4EBC">
        <w:rPr>
          <w:rFonts w:ascii="Times New Roman" w:hAnsi="Times New Roman"/>
          <w:sz w:val="24"/>
        </w:rPr>
        <w:t xml:space="preserve">het advies van de Afdeling advisering om </w:t>
      </w:r>
      <w:r w:rsidRPr="00BD4EBC">
        <w:rPr>
          <w:rFonts w:ascii="Times New Roman" w:hAnsi="Times New Roman"/>
          <w:sz w:val="24"/>
        </w:rPr>
        <w:t xml:space="preserve">de </w:t>
      </w:r>
      <w:r w:rsidR="00A74C67" w:rsidRPr="00BD4EBC">
        <w:rPr>
          <w:rFonts w:ascii="Times New Roman" w:hAnsi="Times New Roman"/>
          <w:sz w:val="24"/>
        </w:rPr>
        <w:t xml:space="preserve">betrokkene op het terrein van het bewijsrecht te faciliteren overgenomen, door </w:t>
      </w:r>
      <w:r w:rsidRPr="00BD4EBC">
        <w:rPr>
          <w:rFonts w:ascii="Times New Roman" w:hAnsi="Times New Roman"/>
          <w:sz w:val="24"/>
        </w:rPr>
        <w:t xml:space="preserve">bewijsrechtelijke positie van betrokkenen </w:t>
      </w:r>
      <w:r w:rsidR="00A74C67" w:rsidRPr="00BD4EBC">
        <w:rPr>
          <w:rFonts w:ascii="Times New Roman" w:hAnsi="Times New Roman"/>
          <w:sz w:val="24"/>
        </w:rPr>
        <w:t xml:space="preserve">te versterken </w:t>
      </w:r>
      <w:r w:rsidRPr="00BD4EBC">
        <w:rPr>
          <w:rFonts w:ascii="Times New Roman" w:hAnsi="Times New Roman"/>
          <w:sz w:val="24"/>
        </w:rPr>
        <w:t>als zij civielrechtelijke rechtsvorderingen instellen. Op grond van artikel 3.2.6, tweede lid, kan er dan een verplaatsing van de bewijslast plaatsvinden.</w:t>
      </w:r>
    </w:p>
    <w:p w14:paraId="2197A88E" w14:textId="77777777" w:rsidR="007601E4" w:rsidRPr="00BD4EBC" w:rsidRDefault="007601E4" w:rsidP="000D29B3">
      <w:pPr>
        <w:rPr>
          <w:rFonts w:ascii="Times New Roman" w:hAnsi="Times New Roman"/>
          <w:sz w:val="24"/>
        </w:rPr>
      </w:pPr>
    </w:p>
    <w:p w14:paraId="4709C8D9" w14:textId="77777777" w:rsidR="000D29B3" w:rsidRPr="00761225" w:rsidRDefault="000D29B3" w:rsidP="000D29B3">
      <w:pPr>
        <w:rPr>
          <w:rFonts w:ascii="Times New Roman" w:hAnsi="Times New Roman"/>
          <w:i/>
          <w:sz w:val="24"/>
        </w:rPr>
      </w:pPr>
      <w:r w:rsidRPr="00761225">
        <w:rPr>
          <w:rFonts w:ascii="Times New Roman" w:hAnsi="Times New Roman"/>
          <w:i/>
          <w:sz w:val="24"/>
        </w:rPr>
        <w:t xml:space="preserve">d. </w:t>
      </w:r>
      <w:r w:rsidRPr="00761225">
        <w:rPr>
          <w:rFonts w:ascii="Times New Roman" w:hAnsi="Times New Roman"/>
          <w:i/>
          <w:sz w:val="24"/>
        </w:rPr>
        <w:tab/>
        <w:t>Toezichthouder</w:t>
      </w:r>
    </w:p>
    <w:p w14:paraId="5D6B0F5C" w14:textId="77777777" w:rsidR="000D29B3" w:rsidRPr="00761225" w:rsidRDefault="000D29B3" w:rsidP="000D29B3">
      <w:pPr>
        <w:rPr>
          <w:rFonts w:ascii="Times New Roman" w:hAnsi="Times New Roman"/>
          <w:i/>
          <w:sz w:val="24"/>
        </w:rPr>
      </w:pPr>
      <w:r w:rsidRPr="00761225">
        <w:rPr>
          <w:rFonts w:ascii="Times New Roman" w:hAnsi="Times New Roman"/>
          <w:i/>
          <w:sz w:val="24"/>
        </w:rPr>
        <w:t xml:space="preserve">Met betrekking tot de bestuursrechtelijke handhaving is in het voorstel nog niet concreet een toezichthouder genoemd. De toelichting noemt verschillende mogelijke toezichthouders.  Volgens het voorstel moet via een amvb de toezichthouder worden aangewezen.  Het is van belang om reeds in de wet te benoemen welke toezichthouder wordt aangewezen. </w:t>
      </w:r>
    </w:p>
    <w:p w14:paraId="6F393727" w14:textId="77777777" w:rsidR="000D29B3" w:rsidRPr="00761225" w:rsidRDefault="000D29B3" w:rsidP="000D29B3">
      <w:pPr>
        <w:rPr>
          <w:rFonts w:ascii="Times New Roman" w:hAnsi="Times New Roman"/>
          <w:i/>
          <w:sz w:val="24"/>
        </w:rPr>
      </w:pPr>
    </w:p>
    <w:p w14:paraId="0105C13E" w14:textId="77777777" w:rsidR="000D29B3" w:rsidRPr="00761225" w:rsidRDefault="000D29B3" w:rsidP="000D29B3">
      <w:pPr>
        <w:rPr>
          <w:rFonts w:ascii="Times New Roman" w:hAnsi="Times New Roman"/>
          <w:i/>
          <w:sz w:val="24"/>
        </w:rPr>
      </w:pPr>
      <w:r w:rsidRPr="00761225">
        <w:rPr>
          <w:rFonts w:ascii="Times New Roman" w:hAnsi="Times New Roman"/>
          <w:i/>
          <w:sz w:val="24"/>
        </w:rPr>
        <w:t xml:space="preserve">De ruime reikwijdte van de wet brengt naar verwachting een forse last mee voor de toezichthouder(s). Gezien de eerder voorgestelde aansluiting bij een sectorale aanpak benadrukt de Afdeling het belang van sectorale expertise, naast bredere kennis ten aanzien van IMVO en grensoverschrijdende aspecten bij de handhaving. </w:t>
      </w:r>
    </w:p>
    <w:p w14:paraId="54D3148E" w14:textId="77777777" w:rsidR="000D29B3" w:rsidRPr="00761225" w:rsidRDefault="000D29B3" w:rsidP="000D29B3">
      <w:pPr>
        <w:rPr>
          <w:rFonts w:ascii="Times New Roman" w:hAnsi="Times New Roman"/>
          <w:i/>
          <w:sz w:val="24"/>
        </w:rPr>
      </w:pPr>
    </w:p>
    <w:p w14:paraId="40C86BCC" w14:textId="77777777" w:rsidR="000D29B3" w:rsidRPr="00761225" w:rsidRDefault="000D29B3" w:rsidP="000D29B3">
      <w:pPr>
        <w:rPr>
          <w:rFonts w:ascii="Times New Roman" w:hAnsi="Times New Roman"/>
          <w:i/>
          <w:sz w:val="24"/>
        </w:rPr>
      </w:pPr>
      <w:r w:rsidRPr="00761225">
        <w:rPr>
          <w:rFonts w:ascii="Times New Roman" w:hAnsi="Times New Roman"/>
          <w:i/>
          <w:sz w:val="24"/>
        </w:rPr>
        <w:t xml:space="preserve">Verder merkt de Afdeling op dat de toezichthouder verantwoordelijk wordt voor toezicht op (vooralsnog) ruim geformuleerde wettelijke normen die gelden voor een groot aantal ondernemingen. De toelichting gaat uit van een bescheiden aantal fte personeel dat hiervoor </w:t>
      </w:r>
      <w:r w:rsidRPr="00761225">
        <w:rPr>
          <w:rFonts w:ascii="Times New Roman" w:hAnsi="Times New Roman"/>
          <w:i/>
          <w:sz w:val="24"/>
        </w:rPr>
        <w:lastRenderedPageBreak/>
        <w:t>verantwoordelijk zou moeten worden. Het is de vraag of dit reëel is gezien de omvang van de taken. Dat heeft ook consequenties voor de financiële gevolgen van het voorstel.</w:t>
      </w:r>
    </w:p>
    <w:p w14:paraId="63DC38BD" w14:textId="77777777" w:rsidR="000D29B3" w:rsidRPr="00761225" w:rsidRDefault="000D29B3" w:rsidP="000D29B3">
      <w:pPr>
        <w:rPr>
          <w:rFonts w:ascii="Times New Roman" w:hAnsi="Times New Roman"/>
          <w:i/>
          <w:sz w:val="24"/>
        </w:rPr>
      </w:pPr>
    </w:p>
    <w:p w14:paraId="12799D61" w14:textId="77777777" w:rsidR="000D29B3" w:rsidRPr="00761225" w:rsidRDefault="000D29B3" w:rsidP="000D29B3">
      <w:pPr>
        <w:rPr>
          <w:rFonts w:ascii="Times New Roman" w:hAnsi="Times New Roman"/>
          <w:sz w:val="24"/>
        </w:rPr>
      </w:pPr>
      <w:r w:rsidRPr="00761225">
        <w:rPr>
          <w:rFonts w:ascii="Times New Roman" w:hAnsi="Times New Roman"/>
          <w:i/>
          <w:sz w:val="24"/>
        </w:rPr>
        <w:t>De Afdeling adviseert om in de wet vast te stellen welke toezichthouder wordt belast met het toezicht op deze wet. Daarnaast adviseert de Afdeling om in de toelichting nader in te gaan op de precieze invulling van de te verwachten taakstelling voor de toezichthouder en de personele en financiële gevolgen daarvan</w:t>
      </w:r>
      <w:r w:rsidRPr="00761225">
        <w:rPr>
          <w:rFonts w:ascii="Times New Roman" w:hAnsi="Times New Roman"/>
          <w:sz w:val="24"/>
        </w:rPr>
        <w:t xml:space="preserve">.  </w:t>
      </w:r>
    </w:p>
    <w:p w14:paraId="5E97493C" w14:textId="77777777" w:rsidR="000D29B3" w:rsidRPr="00761225" w:rsidRDefault="000D29B3" w:rsidP="000D29B3">
      <w:pPr>
        <w:rPr>
          <w:rFonts w:ascii="Times New Roman" w:hAnsi="Times New Roman"/>
          <w:sz w:val="24"/>
        </w:rPr>
      </w:pPr>
    </w:p>
    <w:p w14:paraId="6CE16912" w14:textId="77777777" w:rsidR="00091691" w:rsidRPr="00BD4EBC" w:rsidRDefault="00091691" w:rsidP="00091691">
      <w:pPr>
        <w:rPr>
          <w:rFonts w:ascii="Times New Roman" w:hAnsi="Times New Roman"/>
          <w:b/>
          <w:sz w:val="24"/>
        </w:rPr>
      </w:pPr>
      <w:r w:rsidRPr="00BD4EBC">
        <w:rPr>
          <w:rFonts w:ascii="Times New Roman" w:hAnsi="Times New Roman"/>
          <w:b/>
          <w:sz w:val="24"/>
        </w:rPr>
        <w:t xml:space="preserve">Reactie: </w:t>
      </w:r>
    </w:p>
    <w:p w14:paraId="5F633E40" w14:textId="77777777" w:rsidR="001D4C31" w:rsidRPr="00BD4EBC" w:rsidRDefault="001D4C31" w:rsidP="001D4C31">
      <w:pPr>
        <w:rPr>
          <w:rFonts w:ascii="Times New Roman" w:hAnsi="Times New Roman"/>
          <w:sz w:val="24"/>
        </w:rPr>
      </w:pPr>
    </w:p>
    <w:p w14:paraId="1AF2964F" w14:textId="47BFD1E2" w:rsidR="001D4C31" w:rsidRPr="00BD4EBC" w:rsidRDefault="001D4C31" w:rsidP="001D4C31">
      <w:pPr>
        <w:rPr>
          <w:rFonts w:ascii="Times New Roman" w:hAnsi="Times New Roman"/>
          <w:sz w:val="24"/>
        </w:rPr>
      </w:pPr>
      <w:r w:rsidRPr="00BD4EBC">
        <w:rPr>
          <w:rFonts w:ascii="Times New Roman" w:hAnsi="Times New Roman"/>
          <w:sz w:val="24"/>
        </w:rPr>
        <w:t>Het advies om de aanwijzing van de toezichthouder in de wet plaats te geven, is door de initiatiefnemers overgenomen. Dit gebeurt nu in artikel 3.1</w:t>
      </w:r>
      <w:r w:rsidR="0038468D" w:rsidRPr="00BD4EBC">
        <w:rPr>
          <w:rFonts w:ascii="Times New Roman" w:hAnsi="Times New Roman"/>
          <w:sz w:val="24"/>
        </w:rPr>
        <w:t xml:space="preserve"> in samenhang met artikel 1.1</w:t>
      </w:r>
      <w:r w:rsidRPr="00BD4EBC">
        <w:rPr>
          <w:rFonts w:ascii="Times New Roman" w:hAnsi="Times New Roman"/>
          <w:sz w:val="24"/>
        </w:rPr>
        <w:t xml:space="preserve">. </w:t>
      </w:r>
    </w:p>
    <w:p w14:paraId="43EBA9CB" w14:textId="77777777" w:rsidR="001D4C31" w:rsidRPr="00BD4EBC" w:rsidRDefault="001D4C31" w:rsidP="001D4C31">
      <w:pPr>
        <w:rPr>
          <w:rFonts w:ascii="Times New Roman" w:hAnsi="Times New Roman"/>
          <w:sz w:val="24"/>
        </w:rPr>
      </w:pPr>
    </w:p>
    <w:p w14:paraId="6D3A39BE" w14:textId="77777777" w:rsidR="00C832E6" w:rsidRPr="00BD4EBC" w:rsidRDefault="001D4C31" w:rsidP="00C832E6">
      <w:pPr>
        <w:rPr>
          <w:rFonts w:ascii="Times New Roman" w:hAnsi="Times New Roman"/>
          <w:sz w:val="24"/>
        </w:rPr>
      </w:pPr>
      <w:r w:rsidRPr="00BD4EBC">
        <w:rPr>
          <w:rFonts w:ascii="Times New Roman" w:hAnsi="Times New Roman"/>
          <w:sz w:val="24"/>
        </w:rPr>
        <w:t xml:space="preserve">Er is voor </w:t>
      </w:r>
      <w:r w:rsidR="00E305A9" w:rsidRPr="00BD4EBC">
        <w:rPr>
          <w:rFonts w:ascii="Times New Roman" w:hAnsi="Times New Roman"/>
          <w:sz w:val="24"/>
        </w:rPr>
        <w:t xml:space="preserve">gekozen </w:t>
      </w:r>
      <w:r w:rsidRPr="00BD4EBC">
        <w:rPr>
          <w:rFonts w:ascii="Times New Roman" w:hAnsi="Times New Roman"/>
          <w:sz w:val="24"/>
        </w:rPr>
        <w:t>om de taken voor het toezicht in het kader van dit wetsvoorstel onder te brengen bij de Autoriteit Consument en Markt (ACM) vanwege de raakvlakken met de taken die de ACM nu al uitvoert.</w:t>
      </w:r>
      <w:r w:rsidR="00C832E6" w:rsidRPr="00BD4EBC">
        <w:rPr>
          <w:rFonts w:ascii="Times New Roman" w:hAnsi="Times New Roman"/>
          <w:sz w:val="24"/>
        </w:rPr>
        <w:t xml:space="preserve"> </w:t>
      </w:r>
    </w:p>
    <w:p w14:paraId="07BC6DC5" w14:textId="77777777" w:rsidR="00C832E6" w:rsidRPr="00BD4EBC" w:rsidRDefault="00C832E6" w:rsidP="00C832E6">
      <w:pPr>
        <w:rPr>
          <w:rFonts w:ascii="Times New Roman" w:hAnsi="Times New Roman"/>
          <w:sz w:val="24"/>
        </w:rPr>
      </w:pPr>
    </w:p>
    <w:p w14:paraId="5560E3FC" w14:textId="4318604B" w:rsidR="00C832E6" w:rsidRPr="00BD4EBC" w:rsidRDefault="00C832E6" w:rsidP="00C832E6">
      <w:pPr>
        <w:rPr>
          <w:rFonts w:ascii="Times New Roman" w:hAnsi="Times New Roman"/>
          <w:sz w:val="24"/>
        </w:rPr>
      </w:pPr>
      <w:r w:rsidRPr="00BD4EBC">
        <w:rPr>
          <w:rFonts w:ascii="Times New Roman" w:hAnsi="Times New Roman"/>
          <w:sz w:val="24"/>
        </w:rPr>
        <w:t xml:space="preserve">De </w:t>
      </w:r>
      <w:r w:rsidR="001919C1" w:rsidRPr="00BD4EBC">
        <w:rPr>
          <w:rFonts w:ascii="Times New Roman" w:hAnsi="Times New Roman"/>
          <w:sz w:val="24"/>
        </w:rPr>
        <w:t>opdracht</w:t>
      </w:r>
      <w:r w:rsidRPr="00BD4EBC">
        <w:rPr>
          <w:rFonts w:ascii="Times New Roman" w:hAnsi="Times New Roman"/>
          <w:sz w:val="24"/>
        </w:rPr>
        <w:t xml:space="preserve"> van de ACM is het goed laten werken van markten voor mensen en bedrijven. Markten functioneren </w:t>
      </w:r>
      <w:r w:rsidR="001919C1" w:rsidRPr="00BD4EBC">
        <w:rPr>
          <w:rFonts w:ascii="Times New Roman" w:hAnsi="Times New Roman"/>
          <w:sz w:val="24"/>
        </w:rPr>
        <w:t xml:space="preserve">volgens de ACM </w:t>
      </w:r>
      <w:r w:rsidRPr="00BD4EBC">
        <w:rPr>
          <w:rFonts w:ascii="Times New Roman" w:hAnsi="Times New Roman"/>
          <w:sz w:val="24"/>
        </w:rPr>
        <w:t xml:space="preserve">goed wanneer ondernemingen eerlijk met elkaar concurreren en zij niemand benadelen met oneerlijke praktijken. Mensen en bedrijven </w:t>
      </w:r>
      <w:r w:rsidR="003E2C54" w:rsidRPr="00BD4EBC">
        <w:rPr>
          <w:rFonts w:ascii="Times New Roman" w:hAnsi="Times New Roman"/>
          <w:sz w:val="24"/>
        </w:rPr>
        <w:t xml:space="preserve">moeten </w:t>
      </w:r>
      <w:r w:rsidRPr="00BD4EBC">
        <w:rPr>
          <w:rFonts w:ascii="Times New Roman" w:hAnsi="Times New Roman"/>
          <w:sz w:val="24"/>
        </w:rPr>
        <w:t xml:space="preserve">weten welke spelregels gelden en hoe zij voor hun rechten kunnen opkomen. De ACM </w:t>
      </w:r>
      <w:r w:rsidR="003E2C54" w:rsidRPr="00BD4EBC">
        <w:rPr>
          <w:rFonts w:ascii="Times New Roman" w:hAnsi="Times New Roman"/>
          <w:sz w:val="24"/>
        </w:rPr>
        <w:t>handhaaft</w:t>
      </w:r>
      <w:r w:rsidRPr="00BD4EBC">
        <w:rPr>
          <w:rFonts w:ascii="Times New Roman" w:hAnsi="Times New Roman"/>
          <w:sz w:val="24"/>
        </w:rPr>
        <w:t xml:space="preserve"> de spelregels voor vrije en gereguleerde markten en </w:t>
      </w:r>
      <w:r w:rsidR="003E2C54" w:rsidRPr="00BD4EBC">
        <w:rPr>
          <w:rFonts w:ascii="Times New Roman" w:hAnsi="Times New Roman"/>
          <w:sz w:val="24"/>
        </w:rPr>
        <w:t xml:space="preserve">bevordert </w:t>
      </w:r>
      <w:r w:rsidRPr="00BD4EBC">
        <w:rPr>
          <w:rFonts w:ascii="Times New Roman" w:hAnsi="Times New Roman"/>
          <w:sz w:val="24"/>
        </w:rPr>
        <w:t>brede naleving</w:t>
      </w:r>
      <w:r w:rsidR="003E2C54" w:rsidRPr="00BD4EBC">
        <w:rPr>
          <w:rFonts w:ascii="Times New Roman" w:hAnsi="Times New Roman"/>
          <w:sz w:val="24"/>
        </w:rPr>
        <w:t xml:space="preserve"> daarvan.</w:t>
      </w:r>
      <w:r w:rsidRPr="00BD4EBC">
        <w:rPr>
          <w:rFonts w:ascii="Times New Roman" w:hAnsi="Times New Roman"/>
          <w:sz w:val="24"/>
        </w:rPr>
        <w:t xml:space="preserve"> Daarnaast geeft de ACM voorlichting zodat iedereen deze spelregels kent en voor zijn rechten kan opkomen.</w:t>
      </w:r>
      <w:r w:rsidRPr="00BD4EBC">
        <w:rPr>
          <w:rStyle w:val="Voetnootmarkering"/>
          <w:rFonts w:ascii="Times New Roman" w:hAnsi="Times New Roman"/>
          <w:sz w:val="24"/>
        </w:rPr>
        <w:footnoteReference w:id="11"/>
      </w:r>
    </w:p>
    <w:p w14:paraId="01172CD1" w14:textId="77777777" w:rsidR="00C832E6" w:rsidRPr="00BD4EBC" w:rsidRDefault="00C832E6" w:rsidP="00C832E6">
      <w:pPr>
        <w:rPr>
          <w:rFonts w:ascii="Times New Roman" w:hAnsi="Times New Roman"/>
          <w:sz w:val="24"/>
        </w:rPr>
      </w:pPr>
    </w:p>
    <w:p w14:paraId="28C86472" w14:textId="3EBACA09" w:rsidR="00E305A9" w:rsidRPr="00BD4EBC" w:rsidRDefault="00C832E6">
      <w:pPr>
        <w:rPr>
          <w:rFonts w:ascii="Times New Roman" w:hAnsi="Times New Roman"/>
          <w:sz w:val="24"/>
        </w:rPr>
      </w:pPr>
      <w:r w:rsidRPr="00BD4EBC">
        <w:rPr>
          <w:rFonts w:ascii="Times New Roman" w:hAnsi="Times New Roman"/>
          <w:sz w:val="24"/>
        </w:rPr>
        <w:t xml:space="preserve">Het </w:t>
      </w:r>
      <w:r w:rsidR="0038468D" w:rsidRPr="00BD4EBC">
        <w:rPr>
          <w:rFonts w:ascii="Times New Roman" w:hAnsi="Times New Roman"/>
          <w:sz w:val="24"/>
        </w:rPr>
        <w:t>wet</w:t>
      </w:r>
      <w:r w:rsidRPr="00BD4EBC">
        <w:rPr>
          <w:rFonts w:ascii="Times New Roman" w:hAnsi="Times New Roman"/>
          <w:sz w:val="24"/>
        </w:rPr>
        <w:t xml:space="preserve">voorstel </w:t>
      </w:r>
      <w:r w:rsidR="001919C1" w:rsidRPr="00BD4EBC">
        <w:rPr>
          <w:rFonts w:ascii="Times New Roman" w:hAnsi="Times New Roman"/>
          <w:sz w:val="24"/>
        </w:rPr>
        <w:t xml:space="preserve">voegt </w:t>
      </w:r>
      <w:r w:rsidR="0038468D" w:rsidRPr="00BD4EBC">
        <w:rPr>
          <w:rFonts w:ascii="Times New Roman" w:hAnsi="Times New Roman"/>
          <w:sz w:val="24"/>
        </w:rPr>
        <w:t>immers</w:t>
      </w:r>
      <w:r w:rsidR="003E2C54" w:rsidRPr="00BD4EBC">
        <w:rPr>
          <w:rFonts w:ascii="Times New Roman" w:hAnsi="Times New Roman"/>
          <w:sz w:val="24"/>
        </w:rPr>
        <w:t xml:space="preserve"> een aantal spelregels toe </w:t>
      </w:r>
      <w:r w:rsidR="00426639" w:rsidRPr="00BD4EBC">
        <w:rPr>
          <w:rFonts w:ascii="Times New Roman" w:hAnsi="Times New Roman"/>
          <w:sz w:val="24"/>
        </w:rPr>
        <w:t>voor</w:t>
      </w:r>
      <w:r w:rsidR="003E2C54" w:rsidRPr="00BD4EBC">
        <w:rPr>
          <w:rFonts w:ascii="Times New Roman" w:hAnsi="Times New Roman"/>
          <w:sz w:val="24"/>
        </w:rPr>
        <w:t xml:space="preserve"> het functioneren van de markt</w:t>
      </w:r>
      <w:r w:rsidR="0038468D" w:rsidRPr="00BD4EBC">
        <w:rPr>
          <w:rFonts w:ascii="Times New Roman" w:hAnsi="Times New Roman"/>
          <w:sz w:val="24"/>
        </w:rPr>
        <w:t xml:space="preserve"> en het onderbrengen van het t</w:t>
      </w:r>
      <w:r w:rsidR="003E2C54" w:rsidRPr="00BD4EBC">
        <w:rPr>
          <w:rFonts w:ascii="Times New Roman" w:hAnsi="Times New Roman"/>
          <w:sz w:val="24"/>
        </w:rPr>
        <w:t xml:space="preserve">oezicht op de naleving bij de ACM </w:t>
      </w:r>
      <w:r w:rsidR="0038468D" w:rsidRPr="00BD4EBC">
        <w:rPr>
          <w:rFonts w:ascii="Times New Roman" w:hAnsi="Times New Roman"/>
          <w:sz w:val="24"/>
        </w:rPr>
        <w:t>sluit daar goed op aan.</w:t>
      </w:r>
      <w:r w:rsidR="00265558" w:rsidRPr="00BD4EBC">
        <w:rPr>
          <w:rFonts w:ascii="Times New Roman" w:hAnsi="Times New Roman"/>
          <w:sz w:val="24"/>
        </w:rPr>
        <w:t xml:space="preserve"> De taken en bevoegdheden voor de ACM in hoofdstuk 3 zijn dan ook van tevoren besproken met </w:t>
      </w:r>
      <w:r w:rsidR="00053235" w:rsidRPr="00BD4EBC">
        <w:rPr>
          <w:rFonts w:ascii="Times New Roman" w:hAnsi="Times New Roman"/>
          <w:sz w:val="24"/>
        </w:rPr>
        <w:t xml:space="preserve">medewerkers van de ACM </w:t>
      </w:r>
      <w:r w:rsidR="00265558" w:rsidRPr="00BD4EBC">
        <w:rPr>
          <w:rFonts w:ascii="Times New Roman" w:hAnsi="Times New Roman"/>
          <w:sz w:val="24"/>
        </w:rPr>
        <w:t xml:space="preserve">en aangepast aan </w:t>
      </w:r>
      <w:r w:rsidR="00053235" w:rsidRPr="00BD4EBC">
        <w:rPr>
          <w:rFonts w:ascii="Times New Roman" w:hAnsi="Times New Roman"/>
          <w:sz w:val="24"/>
        </w:rPr>
        <w:t xml:space="preserve">hun </w:t>
      </w:r>
      <w:r w:rsidR="00265558" w:rsidRPr="00BD4EBC">
        <w:rPr>
          <w:rFonts w:ascii="Times New Roman" w:hAnsi="Times New Roman"/>
          <w:sz w:val="24"/>
        </w:rPr>
        <w:t>opmerkingen.</w:t>
      </w:r>
    </w:p>
    <w:p w14:paraId="04379DCD" w14:textId="77777777" w:rsidR="00217EEF" w:rsidRPr="00761225" w:rsidRDefault="00217EEF" w:rsidP="000D29B3">
      <w:pPr>
        <w:rPr>
          <w:rFonts w:ascii="Times New Roman" w:hAnsi="Times New Roman"/>
          <w:sz w:val="24"/>
        </w:rPr>
      </w:pPr>
    </w:p>
    <w:p w14:paraId="761FE560" w14:textId="77777777" w:rsidR="000D29B3" w:rsidRPr="00761225" w:rsidRDefault="000D29B3" w:rsidP="000D29B3">
      <w:pPr>
        <w:rPr>
          <w:rFonts w:ascii="Times New Roman" w:hAnsi="Times New Roman"/>
          <w:i/>
          <w:sz w:val="24"/>
        </w:rPr>
      </w:pPr>
      <w:r w:rsidRPr="00761225">
        <w:rPr>
          <w:rFonts w:ascii="Times New Roman" w:hAnsi="Times New Roman"/>
          <w:i/>
          <w:sz w:val="24"/>
        </w:rPr>
        <w:t xml:space="preserve">e. </w:t>
      </w:r>
      <w:r w:rsidRPr="00761225">
        <w:rPr>
          <w:rFonts w:ascii="Times New Roman" w:hAnsi="Times New Roman"/>
          <w:i/>
          <w:sz w:val="24"/>
        </w:rPr>
        <w:tab/>
        <w:t>Hardheidsclausule</w:t>
      </w:r>
    </w:p>
    <w:p w14:paraId="40AF961A" w14:textId="77777777" w:rsidR="000D29B3" w:rsidRPr="00761225" w:rsidRDefault="000D29B3" w:rsidP="000D29B3">
      <w:pPr>
        <w:rPr>
          <w:rFonts w:ascii="Times New Roman" w:hAnsi="Times New Roman"/>
          <w:i/>
          <w:sz w:val="24"/>
        </w:rPr>
      </w:pPr>
      <w:r w:rsidRPr="00761225">
        <w:rPr>
          <w:rFonts w:ascii="Times New Roman" w:hAnsi="Times New Roman"/>
          <w:i/>
          <w:sz w:val="24"/>
        </w:rPr>
        <w:t xml:space="preserve">In het wetsvoorstel is een hardheidsclausule opgenomen met als doel om de toezichthouder ruimte te geven om maatwerk te leveren en een discretionaire bevoegdheid om geen boetes op te leggen, wanneer dit tot een onzorgvuldige en disproportionele behandeling van een onderneming zou leiden.  De toelichting meldt dat van deze clausule terughoudend gebruik gemaakt dient te worden. Het is niet een standaardinstrument om in te zetten ten behoeve van een evenredige toepassing van de wet, maar alleen in uiterste noodzaak.  </w:t>
      </w:r>
    </w:p>
    <w:p w14:paraId="2B1E3199" w14:textId="77777777" w:rsidR="000D29B3" w:rsidRPr="00761225" w:rsidRDefault="000D29B3" w:rsidP="000D29B3">
      <w:pPr>
        <w:rPr>
          <w:rFonts w:ascii="Times New Roman" w:hAnsi="Times New Roman"/>
          <w:i/>
          <w:sz w:val="24"/>
        </w:rPr>
      </w:pPr>
    </w:p>
    <w:p w14:paraId="40617F5E" w14:textId="77777777" w:rsidR="000D29B3" w:rsidRPr="00761225" w:rsidRDefault="000D29B3" w:rsidP="000D29B3">
      <w:pPr>
        <w:rPr>
          <w:rFonts w:ascii="Times New Roman" w:hAnsi="Times New Roman"/>
          <w:i/>
          <w:sz w:val="24"/>
        </w:rPr>
      </w:pPr>
      <w:r w:rsidRPr="00761225">
        <w:rPr>
          <w:rFonts w:ascii="Times New Roman" w:hAnsi="Times New Roman"/>
          <w:i/>
          <w:sz w:val="24"/>
        </w:rPr>
        <w:t xml:space="preserve">De Afdeling concludeert dat een hardheidsclausule in onderhavig voorstel overbodig is. Daartoe memoreert zij allereerst dat het voorstel open normen bevat en de toezichthouder ruimte heeft bij de toepassing van deze normen. Daarnaast gaat het voorstel uit van de mogelijkheid, dus niet de plicht, voor de toezichthouder om een last onder dwangsom of bestuurlijke boete op te leggen. De toezichthouder heeft derhalve al een discretionaire bevoegdheid bij de oplegging van sancties. </w:t>
      </w:r>
    </w:p>
    <w:p w14:paraId="7760093E" w14:textId="77777777" w:rsidR="000D29B3" w:rsidRPr="00761225" w:rsidRDefault="000D29B3" w:rsidP="000D29B3">
      <w:pPr>
        <w:rPr>
          <w:rFonts w:ascii="Times New Roman" w:hAnsi="Times New Roman"/>
          <w:i/>
          <w:sz w:val="24"/>
        </w:rPr>
      </w:pPr>
    </w:p>
    <w:p w14:paraId="3A4F9665" w14:textId="77777777" w:rsidR="000D29B3" w:rsidRPr="00761225" w:rsidRDefault="000D29B3" w:rsidP="000D29B3">
      <w:pPr>
        <w:rPr>
          <w:rFonts w:ascii="Times New Roman" w:hAnsi="Times New Roman"/>
          <w:i/>
          <w:sz w:val="24"/>
        </w:rPr>
      </w:pPr>
      <w:r w:rsidRPr="00761225">
        <w:rPr>
          <w:rFonts w:ascii="Times New Roman" w:hAnsi="Times New Roman"/>
          <w:i/>
          <w:sz w:val="24"/>
        </w:rPr>
        <w:t xml:space="preserve">Daarnaast is het evenredigheidsbeginsel van toepassing op de bestuursrechtelijke sanctionering.  Wel kan het evenredigheidsbeginsel meer tot uiting komen in de tekst van het voorstel. Zoals in de toelichting staat moet ‘de manier waarop een onderneming invulling </w:t>
      </w:r>
      <w:r w:rsidRPr="00761225">
        <w:rPr>
          <w:rFonts w:ascii="Times New Roman" w:hAnsi="Times New Roman"/>
          <w:i/>
          <w:sz w:val="24"/>
        </w:rPr>
        <w:lastRenderedPageBreak/>
        <w:t xml:space="preserve">geeft aan de verplichting onder deze wet (…) in evenredige verhouding staan tot, onder meer, de potentiële en daadwerkelijke nadelige gevolgen, de marktpositie en de omvang van de onderneming.’  Deze evenredige toepassing van de verplichtingen komt echter niet in de tekst van het voorstel tot uitdrukking. Daarnaast is het van belang dat het evenredigheidsbeginsel tot uiting komt in (op deze wetgeving gebaseerde) amvb’s, ministeriële regelingen of beleidsregels via een bevoegdheid tot matiging van op te leggen boetes. </w:t>
      </w:r>
    </w:p>
    <w:p w14:paraId="1A4978BC" w14:textId="77777777" w:rsidR="000D29B3" w:rsidRPr="00761225" w:rsidRDefault="000D29B3" w:rsidP="000D29B3">
      <w:pPr>
        <w:rPr>
          <w:rFonts w:ascii="Times New Roman" w:hAnsi="Times New Roman"/>
          <w:i/>
          <w:sz w:val="24"/>
        </w:rPr>
      </w:pPr>
    </w:p>
    <w:p w14:paraId="0FA9882F" w14:textId="77777777" w:rsidR="000D29B3" w:rsidRPr="00761225" w:rsidRDefault="000D29B3" w:rsidP="000D29B3">
      <w:pPr>
        <w:rPr>
          <w:rFonts w:ascii="Times New Roman" w:hAnsi="Times New Roman"/>
          <w:sz w:val="24"/>
        </w:rPr>
      </w:pPr>
      <w:r w:rsidRPr="00761225">
        <w:rPr>
          <w:rFonts w:ascii="Times New Roman" w:hAnsi="Times New Roman"/>
          <w:i/>
          <w:sz w:val="24"/>
        </w:rPr>
        <w:t>De Afdeling adviseert de hardheidsclausule te schrappen en het evenredigheidsbeginsel tot uitdrukking te laten komen in de tekst van het voorstel. Daarnaast behoeft de toelichting een aanvulling met betrekking tot de bevoegdheid tot matiging van boetes in (op deze wetgeving gebaseerde) amvb’s, ministeriële regelingen of beleidsregels.</w:t>
      </w:r>
      <w:r w:rsidRPr="00761225">
        <w:rPr>
          <w:rFonts w:ascii="Times New Roman" w:hAnsi="Times New Roman"/>
          <w:sz w:val="24"/>
        </w:rPr>
        <w:t xml:space="preserve"> </w:t>
      </w:r>
    </w:p>
    <w:p w14:paraId="75DA3C47" w14:textId="77777777" w:rsidR="000D29B3" w:rsidRPr="00761225" w:rsidRDefault="000D29B3" w:rsidP="000D29B3">
      <w:pPr>
        <w:rPr>
          <w:rFonts w:ascii="Times New Roman" w:hAnsi="Times New Roman"/>
          <w:sz w:val="24"/>
        </w:rPr>
      </w:pPr>
    </w:p>
    <w:p w14:paraId="50475B64" w14:textId="79FE71C3" w:rsidR="00091691" w:rsidRPr="00D85693" w:rsidRDefault="00091691" w:rsidP="00091691">
      <w:pPr>
        <w:rPr>
          <w:rFonts w:ascii="Times New Roman" w:hAnsi="Times New Roman"/>
          <w:b/>
          <w:sz w:val="24"/>
        </w:rPr>
      </w:pPr>
      <w:r w:rsidRPr="00D85693">
        <w:rPr>
          <w:rFonts w:ascii="Times New Roman" w:hAnsi="Times New Roman"/>
          <w:b/>
          <w:sz w:val="24"/>
        </w:rPr>
        <w:t xml:space="preserve">Reactie: </w:t>
      </w:r>
    </w:p>
    <w:p w14:paraId="315F3D47" w14:textId="2DBE94F3" w:rsidR="00FB7ACC" w:rsidRPr="00D85693" w:rsidRDefault="00FB7ACC" w:rsidP="00091691">
      <w:pPr>
        <w:rPr>
          <w:rFonts w:ascii="Times New Roman" w:hAnsi="Times New Roman"/>
          <w:b/>
          <w:sz w:val="24"/>
        </w:rPr>
      </w:pPr>
    </w:p>
    <w:p w14:paraId="325B7759" w14:textId="0612561C" w:rsidR="00FB7ACC" w:rsidRPr="00D85693" w:rsidRDefault="00FB7ACC" w:rsidP="000D29B3">
      <w:pPr>
        <w:rPr>
          <w:rFonts w:ascii="Times New Roman" w:hAnsi="Times New Roman"/>
          <w:sz w:val="24"/>
        </w:rPr>
      </w:pPr>
      <w:r w:rsidRPr="00D85693">
        <w:rPr>
          <w:rFonts w:ascii="Times New Roman" w:hAnsi="Times New Roman"/>
          <w:bCs/>
          <w:sz w:val="24"/>
        </w:rPr>
        <w:t xml:space="preserve">Naar aanleiding van dit advies van de </w:t>
      </w:r>
      <w:r w:rsidR="007E5852" w:rsidRPr="00D85693">
        <w:rPr>
          <w:rFonts w:ascii="Times New Roman" w:hAnsi="Times New Roman"/>
          <w:bCs/>
          <w:sz w:val="24"/>
        </w:rPr>
        <w:t>Afdeling</w:t>
      </w:r>
      <w:r w:rsidRPr="00D85693">
        <w:rPr>
          <w:rFonts w:ascii="Times New Roman" w:hAnsi="Times New Roman"/>
          <w:bCs/>
          <w:sz w:val="24"/>
        </w:rPr>
        <w:t xml:space="preserve"> hebben de initiatiefnemers besloten de hardheidsclausule te schrappen. </w:t>
      </w:r>
      <w:r w:rsidR="0013713D" w:rsidRPr="00D85693">
        <w:rPr>
          <w:rFonts w:ascii="Times New Roman" w:hAnsi="Times New Roman"/>
          <w:bCs/>
          <w:sz w:val="24"/>
        </w:rPr>
        <w:t xml:space="preserve">De initiatiefnemers </w:t>
      </w:r>
      <w:r w:rsidR="00D42655" w:rsidRPr="00D85693">
        <w:rPr>
          <w:rFonts w:ascii="Times New Roman" w:hAnsi="Times New Roman"/>
          <w:bCs/>
          <w:sz w:val="24"/>
        </w:rPr>
        <w:t xml:space="preserve">zijn bovendien tot het inzicht gekomen dat in de artikelen 5:34 en 5:46 van de Algemene wet bestuursrecht (Awb) al soortgelijke bevoegdheden zijn opgenomen voor de opheffing en matiging van de last onder dwangsom en de bestuurlijke boete. Een </w:t>
      </w:r>
      <w:r w:rsidR="00CD72B3" w:rsidRPr="00D85693">
        <w:rPr>
          <w:rFonts w:ascii="Times New Roman" w:hAnsi="Times New Roman"/>
          <w:bCs/>
          <w:sz w:val="24"/>
        </w:rPr>
        <w:t>‘</w:t>
      </w:r>
      <w:r w:rsidR="00D42655" w:rsidRPr="00D85693">
        <w:rPr>
          <w:rFonts w:ascii="Times New Roman" w:hAnsi="Times New Roman"/>
          <w:bCs/>
          <w:sz w:val="24"/>
        </w:rPr>
        <w:t>hardheidsclausule</w:t>
      </w:r>
      <w:r w:rsidR="00CD72B3" w:rsidRPr="00D85693">
        <w:rPr>
          <w:rFonts w:ascii="Times New Roman" w:hAnsi="Times New Roman"/>
          <w:bCs/>
          <w:sz w:val="24"/>
        </w:rPr>
        <w:t>’</w:t>
      </w:r>
      <w:r w:rsidR="00D42655" w:rsidRPr="00D85693">
        <w:rPr>
          <w:rFonts w:ascii="Times New Roman" w:hAnsi="Times New Roman"/>
          <w:bCs/>
          <w:sz w:val="24"/>
        </w:rPr>
        <w:t xml:space="preserve"> </w:t>
      </w:r>
      <w:r w:rsidR="00CD72B3" w:rsidRPr="00D85693">
        <w:rPr>
          <w:rFonts w:ascii="Times New Roman" w:hAnsi="Times New Roman"/>
          <w:bCs/>
          <w:sz w:val="24"/>
        </w:rPr>
        <w:t xml:space="preserve">zit dus </w:t>
      </w:r>
      <w:r w:rsidR="00D42655" w:rsidRPr="00D85693">
        <w:rPr>
          <w:rFonts w:ascii="Times New Roman" w:hAnsi="Times New Roman"/>
          <w:bCs/>
          <w:sz w:val="24"/>
        </w:rPr>
        <w:t>al verdisconteerd in die artikelen van de Awb.</w:t>
      </w:r>
    </w:p>
    <w:p w14:paraId="42A15883" w14:textId="77777777" w:rsidR="004B6568" w:rsidRPr="00761225" w:rsidRDefault="004B6568" w:rsidP="000D29B3">
      <w:pPr>
        <w:rPr>
          <w:rFonts w:ascii="Times New Roman" w:hAnsi="Times New Roman"/>
          <w:sz w:val="24"/>
        </w:rPr>
      </w:pPr>
    </w:p>
    <w:p w14:paraId="39FCBDAC" w14:textId="77777777" w:rsidR="000D29B3" w:rsidRPr="00761225" w:rsidRDefault="000D29B3" w:rsidP="000D29B3">
      <w:pPr>
        <w:rPr>
          <w:rFonts w:ascii="Times New Roman" w:hAnsi="Times New Roman"/>
          <w:i/>
          <w:sz w:val="24"/>
        </w:rPr>
      </w:pPr>
      <w:r w:rsidRPr="00761225">
        <w:rPr>
          <w:rFonts w:ascii="Times New Roman" w:hAnsi="Times New Roman"/>
          <w:i/>
          <w:sz w:val="24"/>
        </w:rPr>
        <w:t xml:space="preserve">f. </w:t>
      </w:r>
      <w:r w:rsidRPr="00761225">
        <w:rPr>
          <w:rFonts w:ascii="Times New Roman" w:hAnsi="Times New Roman"/>
          <w:i/>
          <w:sz w:val="24"/>
        </w:rPr>
        <w:tab/>
        <w:t>BES-eilanden</w:t>
      </w:r>
    </w:p>
    <w:p w14:paraId="30054C79" w14:textId="77777777" w:rsidR="000D29B3" w:rsidRPr="00761225" w:rsidRDefault="000D29B3" w:rsidP="000D29B3">
      <w:pPr>
        <w:rPr>
          <w:rFonts w:ascii="Times New Roman" w:hAnsi="Times New Roman"/>
          <w:i/>
          <w:sz w:val="24"/>
        </w:rPr>
      </w:pPr>
      <w:r w:rsidRPr="00761225">
        <w:rPr>
          <w:rFonts w:ascii="Times New Roman" w:hAnsi="Times New Roman"/>
          <w:i/>
          <w:sz w:val="24"/>
        </w:rPr>
        <w:t>Het wetsvoorstel is expliciet van toepassing verklaard op ondernemingen gevestigd op de openbare lichamen Bonaire, Saba en Sint-Eustatius.  De Afdeling constateert dat de toelichting geen inzicht geeft in de vraag of op de eilanden mogelijk sprake kan zijn van bijzondere omstandigheden, die onverkorte toepassing van de verplichtingen uit het voorstel op ondernemingen die op de openbare lichamen zijn gevestigd, wellicht bemoeilijkt.  Te denken valt aan gebrek aan toezicht- en handhavingscapaciteit. Bovendien valt uit de toelichting niet op te maken of de openbare lichamen zijn geconsulteerd en zo ja, wat daarvan het resultaat is geweest.</w:t>
      </w:r>
    </w:p>
    <w:p w14:paraId="56538164" w14:textId="77777777" w:rsidR="000D29B3" w:rsidRPr="00761225" w:rsidRDefault="000D29B3" w:rsidP="000D29B3">
      <w:pPr>
        <w:rPr>
          <w:rFonts w:ascii="Times New Roman" w:hAnsi="Times New Roman"/>
          <w:i/>
          <w:sz w:val="24"/>
        </w:rPr>
      </w:pPr>
    </w:p>
    <w:p w14:paraId="5C97C573" w14:textId="77777777" w:rsidR="000D29B3" w:rsidRPr="00761225" w:rsidRDefault="000D29B3" w:rsidP="000D29B3">
      <w:pPr>
        <w:rPr>
          <w:rFonts w:ascii="Times New Roman" w:hAnsi="Times New Roman"/>
          <w:i/>
          <w:sz w:val="24"/>
        </w:rPr>
      </w:pPr>
      <w:r w:rsidRPr="00761225">
        <w:rPr>
          <w:rFonts w:ascii="Times New Roman" w:hAnsi="Times New Roman"/>
          <w:i/>
          <w:sz w:val="24"/>
        </w:rPr>
        <w:t xml:space="preserve">De Afdeling adviseert de toelichting op dit punt aan te vullen en zo nodig het voorstel aan te passen. </w:t>
      </w:r>
    </w:p>
    <w:p w14:paraId="457EAABD" w14:textId="77777777" w:rsidR="000D29B3" w:rsidRPr="00761225" w:rsidRDefault="000D29B3" w:rsidP="000D29B3">
      <w:pPr>
        <w:rPr>
          <w:rFonts w:ascii="Times New Roman" w:hAnsi="Times New Roman"/>
          <w:sz w:val="24"/>
        </w:rPr>
      </w:pPr>
    </w:p>
    <w:p w14:paraId="2768E5F6" w14:textId="4475B193" w:rsidR="00091691" w:rsidRPr="00D85693" w:rsidRDefault="00091691" w:rsidP="00091691">
      <w:pPr>
        <w:rPr>
          <w:rFonts w:ascii="Times New Roman" w:hAnsi="Times New Roman"/>
          <w:b/>
          <w:sz w:val="24"/>
        </w:rPr>
      </w:pPr>
      <w:r w:rsidRPr="00D85693">
        <w:rPr>
          <w:rFonts w:ascii="Times New Roman" w:hAnsi="Times New Roman"/>
          <w:b/>
          <w:sz w:val="24"/>
        </w:rPr>
        <w:t xml:space="preserve">Reactie: </w:t>
      </w:r>
    </w:p>
    <w:p w14:paraId="722A3774" w14:textId="589E6249" w:rsidR="00A66615" w:rsidRPr="00D85693" w:rsidRDefault="00A66615" w:rsidP="00091691">
      <w:pPr>
        <w:rPr>
          <w:rFonts w:ascii="Times New Roman" w:hAnsi="Times New Roman"/>
          <w:b/>
          <w:sz w:val="24"/>
        </w:rPr>
      </w:pPr>
    </w:p>
    <w:p w14:paraId="434A98FC" w14:textId="087E20F4" w:rsidR="00092F8B" w:rsidRPr="00D85693" w:rsidRDefault="00A66615" w:rsidP="00091691">
      <w:pPr>
        <w:rPr>
          <w:rFonts w:ascii="Times New Roman" w:hAnsi="Times New Roman"/>
          <w:bCs/>
          <w:sz w:val="24"/>
        </w:rPr>
      </w:pPr>
      <w:r w:rsidRPr="00D85693">
        <w:rPr>
          <w:rFonts w:ascii="Times New Roman" w:hAnsi="Times New Roman"/>
          <w:bCs/>
          <w:sz w:val="24"/>
        </w:rPr>
        <w:t xml:space="preserve">De </w:t>
      </w:r>
      <w:r w:rsidR="007E5852" w:rsidRPr="00D85693">
        <w:rPr>
          <w:rFonts w:ascii="Times New Roman" w:hAnsi="Times New Roman"/>
          <w:bCs/>
          <w:sz w:val="24"/>
        </w:rPr>
        <w:t>Afdeling</w:t>
      </w:r>
      <w:r w:rsidRPr="00D85693">
        <w:rPr>
          <w:rFonts w:ascii="Times New Roman" w:hAnsi="Times New Roman"/>
          <w:bCs/>
          <w:sz w:val="24"/>
        </w:rPr>
        <w:t xml:space="preserve"> constateert dat de eerste toelichting geen inzicht geeft in de vraag of op de eilanden mogelijk sprake kan zijn van bijzondere omstandigheden. De initiatiefnemers merken daarover op dat waar er sprake zou kunnen zijn van bijzondere omstandigheden, ondernemingen op de BES-eilanden geholpen kunnen worden door de </w:t>
      </w:r>
      <w:r w:rsidR="0031538A" w:rsidRPr="00D85693">
        <w:rPr>
          <w:rFonts w:ascii="Times New Roman" w:hAnsi="Times New Roman"/>
          <w:bCs/>
          <w:sz w:val="24"/>
        </w:rPr>
        <w:t xml:space="preserve">in 2021 </w:t>
      </w:r>
      <w:r w:rsidRPr="00D85693">
        <w:rPr>
          <w:rFonts w:ascii="Times New Roman" w:hAnsi="Times New Roman"/>
          <w:bCs/>
          <w:sz w:val="24"/>
        </w:rPr>
        <w:t>opgerichte financieringsinstelling Invest International bij het bedrijven van buitenlandse handel (projectfinanciering, investeringen en subsidies). IMVO</w:t>
      </w:r>
      <w:r w:rsidR="00092F8B" w:rsidRPr="00D85693">
        <w:rPr>
          <w:rFonts w:ascii="Times New Roman" w:hAnsi="Times New Roman"/>
          <w:bCs/>
          <w:sz w:val="24"/>
        </w:rPr>
        <w:t>-</w:t>
      </w:r>
      <w:r w:rsidRPr="00D85693">
        <w:rPr>
          <w:rFonts w:ascii="Times New Roman" w:hAnsi="Times New Roman"/>
          <w:bCs/>
          <w:sz w:val="24"/>
        </w:rPr>
        <w:t xml:space="preserve">normen </w:t>
      </w:r>
      <w:r w:rsidR="00092F8B" w:rsidRPr="00D85693">
        <w:rPr>
          <w:rFonts w:ascii="Times New Roman" w:hAnsi="Times New Roman"/>
          <w:bCs/>
          <w:sz w:val="24"/>
        </w:rPr>
        <w:t xml:space="preserve">spelen </w:t>
      </w:r>
      <w:r w:rsidRPr="00D85693">
        <w:rPr>
          <w:rFonts w:ascii="Times New Roman" w:hAnsi="Times New Roman"/>
          <w:bCs/>
          <w:sz w:val="24"/>
        </w:rPr>
        <w:t>hier</w:t>
      </w:r>
      <w:r w:rsidR="00092F8B" w:rsidRPr="00D85693">
        <w:rPr>
          <w:rFonts w:ascii="Times New Roman" w:hAnsi="Times New Roman"/>
          <w:bCs/>
          <w:sz w:val="24"/>
        </w:rPr>
        <w:t>bij</w:t>
      </w:r>
      <w:r w:rsidRPr="00D85693">
        <w:rPr>
          <w:rFonts w:ascii="Times New Roman" w:hAnsi="Times New Roman"/>
          <w:bCs/>
          <w:sz w:val="24"/>
        </w:rPr>
        <w:t xml:space="preserve"> ook een belangrijke rol. </w:t>
      </w:r>
      <w:r w:rsidR="00092F8B" w:rsidRPr="00D85693">
        <w:rPr>
          <w:rFonts w:ascii="Times New Roman" w:hAnsi="Times New Roman"/>
          <w:bCs/>
          <w:sz w:val="24"/>
        </w:rPr>
        <w:t>Naleving van de IMVO-normen loont voor deze ondernemingen daardoor nog meer.</w:t>
      </w:r>
    </w:p>
    <w:p w14:paraId="4EC15235" w14:textId="77777777" w:rsidR="00092F8B" w:rsidRPr="00D85693" w:rsidRDefault="00092F8B" w:rsidP="00091691">
      <w:pPr>
        <w:rPr>
          <w:rFonts w:ascii="Times New Roman" w:hAnsi="Times New Roman"/>
          <w:bCs/>
          <w:sz w:val="24"/>
        </w:rPr>
      </w:pPr>
    </w:p>
    <w:p w14:paraId="4F2D822E" w14:textId="109418B1" w:rsidR="00A66615" w:rsidRPr="00D85693" w:rsidRDefault="00092F8B" w:rsidP="00091691">
      <w:pPr>
        <w:rPr>
          <w:rFonts w:ascii="Times New Roman" w:hAnsi="Times New Roman"/>
          <w:bCs/>
          <w:sz w:val="24"/>
        </w:rPr>
      </w:pPr>
      <w:r w:rsidRPr="00D85693">
        <w:rPr>
          <w:rFonts w:ascii="Times New Roman" w:hAnsi="Times New Roman"/>
          <w:bCs/>
          <w:sz w:val="24"/>
        </w:rPr>
        <w:t xml:space="preserve">Het wetsvoorstel is </w:t>
      </w:r>
      <w:r w:rsidR="00CD72B3" w:rsidRPr="00D85693">
        <w:rPr>
          <w:rFonts w:ascii="Times New Roman" w:hAnsi="Times New Roman"/>
          <w:bCs/>
          <w:sz w:val="24"/>
        </w:rPr>
        <w:t xml:space="preserve">na het advies van de Afdeling advisering direct </w:t>
      </w:r>
      <w:r w:rsidRPr="00D85693">
        <w:rPr>
          <w:rFonts w:ascii="Times New Roman" w:hAnsi="Times New Roman"/>
          <w:bCs/>
          <w:sz w:val="24"/>
        </w:rPr>
        <w:t xml:space="preserve">aan de </w:t>
      </w:r>
      <w:r w:rsidR="00F52D90" w:rsidRPr="00D85693">
        <w:rPr>
          <w:rFonts w:ascii="Times New Roman" w:hAnsi="Times New Roman"/>
          <w:bCs/>
          <w:sz w:val="24"/>
        </w:rPr>
        <w:t>besturen</w:t>
      </w:r>
      <w:r w:rsidRPr="00D85693">
        <w:rPr>
          <w:rFonts w:ascii="Times New Roman" w:hAnsi="Times New Roman"/>
          <w:bCs/>
          <w:sz w:val="24"/>
        </w:rPr>
        <w:t xml:space="preserve"> van de eilanden voorgelegd. </w:t>
      </w:r>
      <w:r w:rsidR="00F55CF6" w:rsidRPr="00D85693">
        <w:rPr>
          <w:rFonts w:ascii="Times New Roman" w:hAnsi="Times New Roman"/>
          <w:bCs/>
          <w:sz w:val="24"/>
        </w:rPr>
        <w:t xml:space="preserve">Ook is het wetsvoorstel na aanpassing aan het advies van de Afdeling advisering aan ze voorgelegd. </w:t>
      </w:r>
      <w:bookmarkStart w:id="5" w:name="_Hlk117767403"/>
      <w:r w:rsidR="00F55CF6" w:rsidRPr="00D85693">
        <w:rPr>
          <w:rFonts w:ascii="Times New Roman" w:hAnsi="Times New Roman"/>
          <w:bCs/>
          <w:sz w:val="24"/>
        </w:rPr>
        <w:t>De</w:t>
      </w:r>
      <w:r w:rsidR="00F52D90" w:rsidRPr="00D85693">
        <w:rPr>
          <w:rFonts w:ascii="Times New Roman" w:hAnsi="Times New Roman"/>
          <w:bCs/>
          <w:sz w:val="24"/>
        </w:rPr>
        <w:t xml:space="preserve"> initiatiefnemers </w:t>
      </w:r>
      <w:r w:rsidR="00F55CF6" w:rsidRPr="00D85693">
        <w:rPr>
          <w:rFonts w:ascii="Times New Roman" w:hAnsi="Times New Roman"/>
          <w:bCs/>
          <w:sz w:val="24"/>
        </w:rPr>
        <w:t>willen eerst nog in overleg met de besturen treden en</w:t>
      </w:r>
      <w:r w:rsidR="0013713D" w:rsidRPr="00D85693">
        <w:rPr>
          <w:rFonts w:ascii="Times New Roman" w:hAnsi="Times New Roman"/>
          <w:bCs/>
          <w:sz w:val="24"/>
        </w:rPr>
        <w:t xml:space="preserve"> hebben daarom vooralsnog dit onderdeel uit het wetsvoorstel geschrapt</w:t>
      </w:r>
      <w:r w:rsidR="00F52D90" w:rsidRPr="00D85693">
        <w:rPr>
          <w:rFonts w:ascii="Times New Roman" w:hAnsi="Times New Roman"/>
          <w:bCs/>
          <w:sz w:val="24"/>
        </w:rPr>
        <w:t xml:space="preserve">. </w:t>
      </w:r>
    </w:p>
    <w:bookmarkEnd w:id="5"/>
    <w:p w14:paraId="31122D10" w14:textId="05AFF75A" w:rsidR="00091691" w:rsidRPr="00761225" w:rsidRDefault="00091691" w:rsidP="000D29B3">
      <w:pPr>
        <w:rPr>
          <w:rFonts w:ascii="Times New Roman" w:hAnsi="Times New Roman"/>
          <w:color w:val="0070C0"/>
          <w:sz w:val="24"/>
        </w:rPr>
      </w:pPr>
    </w:p>
    <w:p w14:paraId="7B90281E" w14:textId="77777777" w:rsidR="00217EEF" w:rsidRPr="00761225" w:rsidRDefault="00217EEF" w:rsidP="000D29B3">
      <w:pPr>
        <w:rPr>
          <w:rFonts w:ascii="Times New Roman" w:hAnsi="Times New Roman"/>
          <w:i/>
          <w:sz w:val="24"/>
        </w:rPr>
      </w:pPr>
    </w:p>
    <w:p w14:paraId="21577D01" w14:textId="45A8E619" w:rsidR="000D29B3" w:rsidRPr="00761225" w:rsidRDefault="000D29B3" w:rsidP="000D29B3">
      <w:pPr>
        <w:rPr>
          <w:rFonts w:ascii="Times New Roman" w:hAnsi="Times New Roman"/>
          <w:i/>
          <w:sz w:val="24"/>
        </w:rPr>
      </w:pPr>
      <w:r w:rsidRPr="00761225">
        <w:rPr>
          <w:rFonts w:ascii="Times New Roman" w:hAnsi="Times New Roman"/>
          <w:i/>
          <w:sz w:val="24"/>
        </w:rPr>
        <w:t>g.</w:t>
      </w:r>
      <w:r w:rsidRPr="00761225">
        <w:rPr>
          <w:rFonts w:ascii="Times New Roman" w:hAnsi="Times New Roman"/>
          <w:i/>
          <w:sz w:val="24"/>
        </w:rPr>
        <w:tab/>
        <w:t>Evaluatiebepaling</w:t>
      </w:r>
    </w:p>
    <w:p w14:paraId="34636010" w14:textId="77777777" w:rsidR="000D29B3" w:rsidRPr="00761225" w:rsidRDefault="000D29B3" w:rsidP="000D29B3">
      <w:pPr>
        <w:rPr>
          <w:rFonts w:ascii="Times New Roman" w:hAnsi="Times New Roman"/>
          <w:i/>
          <w:sz w:val="24"/>
        </w:rPr>
      </w:pPr>
      <w:r w:rsidRPr="00761225">
        <w:rPr>
          <w:rFonts w:ascii="Times New Roman" w:hAnsi="Times New Roman"/>
          <w:i/>
          <w:sz w:val="24"/>
        </w:rPr>
        <w:t xml:space="preserve">In het voorstel ontbreekt een evaluatiebepaling. De Afdeling acht het van belang om ten aanzien van deze vernieuwende wetgeving zowel de mate van verwerkelijking van de doelstellingen en de neveneffecten te onderzoeken als de rechtszekerheid, evenredigheid, uitvoerbaarheid, handhaafbaarheid en samenhang met andere wetgeving en beleid (op internationaal, Europees en nationaal niveau).  Daarbij verwijst de Afdeling ook naar de evaluatiebepaling die is opgenomen in artikel 10 van de Wet zorgplicht kinderarbeid.  </w:t>
      </w:r>
    </w:p>
    <w:p w14:paraId="63691157" w14:textId="77777777" w:rsidR="000D29B3" w:rsidRPr="00761225" w:rsidRDefault="000D29B3" w:rsidP="000D29B3">
      <w:pPr>
        <w:rPr>
          <w:rFonts w:ascii="Times New Roman" w:hAnsi="Times New Roman"/>
          <w:i/>
          <w:sz w:val="24"/>
        </w:rPr>
      </w:pPr>
    </w:p>
    <w:p w14:paraId="50CB140A" w14:textId="77777777" w:rsidR="000D29B3" w:rsidRPr="00761225" w:rsidRDefault="000D29B3" w:rsidP="000D29B3">
      <w:pPr>
        <w:rPr>
          <w:rFonts w:ascii="Times New Roman" w:hAnsi="Times New Roman"/>
          <w:i/>
          <w:sz w:val="24"/>
        </w:rPr>
      </w:pPr>
      <w:r w:rsidRPr="00761225">
        <w:rPr>
          <w:rFonts w:ascii="Times New Roman" w:hAnsi="Times New Roman"/>
          <w:i/>
          <w:sz w:val="24"/>
        </w:rPr>
        <w:t>De Afdeling adviseert om het voorstel na vijf jaar te evalueren op voorgenoemde aspecten en hiertoe een evaluatiebepaling op te nemen.</w:t>
      </w:r>
    </w:p>
    <w:p w14:paraId="19CCB0E2" w14:textId="77777777" w:rsidR="000D29B3" w:rsidRPr="00761225" w:rsidRDefault="000D29B3" w:rsidP="000D29B3">
      <w:pPr>
        <w:rPr>
          <w:rFonts w:ascii="Times New Roman" w:hAnsi="Times New Roman"/>
          <w:sz w:val="24"/>
        </w:rPr>
      </w:pPr>
      <w:r w:rsidRPr="00761225">
        <w:rPr>
          <w:rFonts w:ascii="Times New Roman" w:hAnsi="Times New Roman"/>
          <w:sz w:val="24"/>
        </w:rPr>
        <w:t> </w:t>
      </w:r>
    </w:p>
    <w:p w14:paraId="5CAA7B22" w14:textId="77777777" w:rsidR="00091691" w:rsidRPr="00D85693" w:rsidRDefault="00091691" w:rsidP="00091691">
      <w:pPr>
        <w:rPr>
          <w:rFonts w:ascii="Times New Roman" w:hAnsi="Times New Roman"/>
          <w:b/>
          <w:sz w:val="24"/>
        </w:rPr>
      </w:pPr>
      <w:r w:rsidRPr="00D85693">
        <w:rPr>
          <w:rFonts w:ascii="Times New Roman" w:hAnsi="Times New Roman"/>
          <w:b/>
          <w:sz w:val="24"/>
        </w:rPr>
        <w:t xml:space="preserve">Reactie: </w:t>
      </w:r>
    </w:p>
    <w:p w14:paraId="64E8E534" w14:textId="77777777" w:rsidR="0029259D" w:rsidRPr="00D85693" w:rsidRDefault="0029259D" w:rsidP="0029259D">
      <w:pPr>
        <w:rPr>
          <w:rFonts w:ascii="Times New Roman" w:hAnsi="Times New Roman"/>
          <w:sz w:val="24"/>
        </w:rPr>
      </w:pPr>
    </w:p>
    <w:p w14:paraId="3D06EAD8" w14:textId="69C2EDA1" w:rsidR="00C87C15" w:rsidRPr="00D85693" w:rsidRDefault="0029259D" w:rsidP="0029259D">
      <w:pPr>
        <w:rPr>
          <w:rFonts w:ascii="Times New Roman" w:hAnsi="Times New Roman"/>
          <w:sz w:val="24"/>
        </w:rPr>
      </w:pPr>
      <w:r w:rsidRPr="00D85693">
        <w:rPr>
          <w:rFonts w:ascii="Times New Roman" w:hAnsi="Times New Roman"/>
          <w:sz w:val="24"/>
        </w:rPr>
        <w:t xml:space="preserve">De initiatiefnemers hebben het advies van de </w:t>
      </w:r>
      <w:r w:rsidR="007E5852" w:rsidRPr="00D85693">
        <w:rPr>
          <w:rFonts w:ascii="Times New Roman" w:hAnsi="Times New Roman"/>
          <w:sz w:val="24"/>
        </w:rPr>
        <w:t>Afdeling</w:t>
      </w:r>
      <w:r w:rsidRPr="00D85693">
        <w:rPr>
          <w:rFonts w:ascii="Times New Roman" w:hAnsi="Times New Roman"/>
          <w:sz w:val="24"/>
        </w:rPr>
        <w:t xml:space="preserve"> om het wetsvoorstel vijf jaar na inwerkingtreding te evalueren overgenomen. </w:t>
      </w:r>
      <w:r w:rsidR="0013713D" w:rsidRPr="00D85693">
        <w:rPr>
          <w:rFonts w:ascii="Times New Roman" w:hAnsi="Times New Roman"/>
          <w:sz w:val="24"/>
        </w:rPr>
        <w:t xml:space="preserve">De initiatiefnemers hebben daaraan toegevoegd dat de evaluatie elke vijf jaar moet plaatsvinden. </w:t>
      </w:r>
      <w:r w:rsidR="00917962" w:rsidRPr="00D85693">
        <w:rPr>
          <w:rFonts w:ascii="Times New Roman" w:hAnsi="Times New Roman"/>
          <w:sz w:val="24"/>
        </w:rPr>
        <w:t>De evaluatiebepaling is opgenomen in artikel 4</w:t>
      </w:r>
      <w:r w:rsidR="000B0682" w:rsidRPr="00D85693">
        <w:rPr>
          <w:rFonts w:ascii="Times New Roman" w:hAnsi="Times New Roman"/>
          <w:sz w:val="24"/>
        </w:rPr>
        <w:t>.</w:t>
      </w:r>
      <w:r w:rsidR="005C61ED" w:rsidRPr="00D85693">
        <w:rPr>
          <w:rFonts w:ascii="Times New Roman" w:hAnsi="Times New Roman"/>
          <w:sz w:val="24"/>
        </w:rPr>
        <w:t>1</w:t>
      </w:r>
      <w:r w:rsidR="000B0682" w:rsidRPr="00D85693">
        <w:rPr>
          <w:rFonts w:ascii="Times New Roman" w:hAnsi="Times New Roman"/>
          <w:sz w:val="24"/>
        </w:rPr>
        <w:t>.</w:t>
      </w:r>
    </w:p>
    <w:p w14:paraId="04224AF2" w14:textId="77777777" w:rsidR="00091691" w:rsidRPr="00D85693" w:rsidRDefault="00091691" w:rsidP="000D29B3">
      <w:pPr>
        <w:rPr>
          <w:rFonts w:ascii="Times New Roman" w:hAnsi="Times New Roman"/>
          <w:sz w:val="24"/>
        </w:rPr>
      </w:pPr>
    </w:p>
    <w:p w14:paraId="32A1E0E2" w14:textId="3BF4A904" w:rsidR="000D29B3" w:rsidRPr="00761225" w:rsidRDefault="000D29B3" w:rsidP="000D29B3">
      <w:pPr>
        <w:rPr>
          <w:rFonts w:ascii="Times New Roman" w:hAnsi="Times New Roman"/>
          <w:i/>
          <w:iCs/>
          <w:sz w:val="24"/>
        </w:rPr>
      </w:pPr>
      <w:r w:rsidRPr="00761225">
        <w:rPr>
          <w:rFonts w:ascii="Times New Roman" w:hAnsi="Times New Roman"/>
          <w:i/>
          <w:iCs/>
          <w:sz w:val="24"/>
        </w:rPr>
        <w:t xml:space="preserve">De Afdeling advisering van de Raad van State heeft een aantal bezwaren bij het initiatiefvoorstel en adviseert het voorstel niet in behandeling te nemen, tenzij het is aangepast. </w:t>
      </w:r>
    </w:p>
    <w:p w14:paraId="073D1612" w14:textId="77777777" w:rsidR="000D29B3" w:rsidRPr="00761225" w:rsidRDefault="000D29B3" w:rsidP="00B96C50">
      <w:pPr>
        <w:pStyle w:val="Amendement"/>
        <w:jc w:val="both"/>
        <w:rPr>
          <w:rFonts w:ascii="Times New Roman" w:hAnsi="Times New Roman"/>
          <w:b w:val="0"/>
        </w:rPr>
      </w:pPr>
    </w:p>
    <w:p w14:paraId="4D846D75" w14:textId="77777777" w:rsidR="00D920F6" w:rsidRPr="00761225" w:rsidRDefault="00D920F6" w:rsidP="00B96C50">
      <w:pPr>
        <w:pStyle w:val="Amendement"/>
        <w:jc w:val="both"/>
        <w:rPr>
          <w:rFonts w:ascii="Times New Roman" w:hAnsi="Times New Roman"/>
          <w:b w:val="0"/>
          <w:i/>
        </w:rPr>
      </w:pPr>
      <w:r w:rsidRPr="00761225">
        <w:rPr>
          <w:rFonts w:ascii="Times New Roman" w:hAnsi="Times New Roman"/>
          <w:b w:val="0"/>
          <w:i/>
        </w:rPr>
        <w:t>De Vice-President van de Raad van State,</w:t>
      </w:r>
    </w:p>
    <w:p w14:paraId="6C67EED4" w14:textId="77777777" w:rsidR="00D920F6" w:rsidRPr="00761225" w:rsidRDefault="0064090D" w:rsidP="00B96C50">
      <w:pPr>
        <w:pStyle w:val="Amendement"/>
        <w:jc w:val="both"/>
        <w:rPr>
          <w:rFonts w:ascii="Times New Roman" w:hAnsi="Times New Roman"/>
          <w:b w:val="0"/>
          <w:i/>
        </w:rPr>
      </w:pPr>
      <w:r w:rsidRPr="00761225">
        <w:rPr>
          <w:rFonts w:ascii="Times New Roman" w:hAnsi="Times New Roman"/>
          <w:b w:val="0"/>
          <w:i/>
        </w:rPr>
        <w:t>Th.C</w:t>
      </w:r>
      <w:r w:rsidR="00D920F6" w:rsidRPr="00761225">
        <w:rPr>
          <w:rFonts w:ascii="Times New Roman" w:hAnsi="Times New Roman"/>
          <w:b w:val="0"/>
          <w:i/>
        </w:rPr>
        <w:t xml:space="preserve">. </w:t>
      </w:r>
      <w:r w:rsidRPr="00761225">
        <w:rPr>
          <w:rFonts w:ascii="Times New Roman" w:hAnsi="Times New Roman"/>
          <w:b w:val="0"/>
          <w:i/>
        </w:rPr>
        <w:t>de Graaf</w:t>
      </w:r>
    </w:p>
    <w:p w14:paraId="6A42263C" w14:textId="77777777" w:rsidR="005C37E5" w:rsidRPr="00761225" w:rsidRDefault="005C37E5" w:rsidP="00B96C50">
      <w:pPr>
        <w:pStyle w:val="Amendement"/>
        <w:jc w:val="both"/>
        <w:rPr>
          <w:rFonts w:ascii="Times New Roman" w:hAnsi="Times New Roman" w:cs="Times New Roman"/>
          <w:b w:val="0"/>
        </w:rPr>
      </w:pPr>
    </w:p>
    <w:p w14:paraId="42E74FBE" w14:textId="517FEC34" w:rsidR="001534FD" w:rsidRDefault="001534FD" w:rsidP="00917962">
      <w:pPr>
        <w:rPr>
          <w:rFonts w:ascii="Times New Roman" w:hAnsi="Times New Roman"/>
          <w:color w:val="0070C0"/>
          <w:sz w:val="24"/>
        </w:rPr>
      </w:pPr>
    </w:p>
    <w:p w14:paraId="2974F4B3" w14:textId="30C5AC5D" w:rsidR="001534FD" w:rsidRPr="00D85693" w:rsidRDefault="001534FD" w:rsidP="001534FD">
      <w:pPr>
        <w:rPr>
          <w:rFonts w:ascii="Times New Roman" w:hAnsi="Times New Roman"/>
          <w:b/>
          <w:sz w:val="24"/>
        </w:rPr>
      </w:pPr>
      <w:r w:rsidRPr="00D85693">
        <w:rPr>
          <w:rFonts w:ascii="Times New Roman" w:hAnsi="Times New Roman"/>
          <w:b/>
          <w:sz w:val="24"/>
        </w:rPr>
        <w:t>Overige wijzigingen aangebracht door de initiatiefnemers:</w:t>
      </w:r>
    </w:p>
    <w:p w14:paraId="2A7240AE" w14:textId="77777777" w:rsidR="001534FD" w:rsidRPr="00D85693" w:rsidRDefault="001534FD" w:rsidP="001534FD">
      <w:pPr>
        <w:rPr>
          <w:rFonts w:ascii="Times New Roman" w:hAnsi="Times New Roman"/>
          <w:b/>
          <w:sz w:val="24"/>
        </w:rPr>
      </w:pPr>
    </w:p>
    <w:p w14:paraId="06DC2F9A" w14:textId="5CAA5D90" w:rsidR="001534FD" w:rsidRPr="00D85693" w:rsidRDefault="001534FD" w:rsidP="001534FD">
      <w:pPr>
        <w:rPr>
          <w:rFonts w:ascii="Times New Roman" w:hAnsi="Times New Roman"/>
          <w:sz w:val="24"/>
        </w:rPr>
      </w:pPr>
      <w:r w:rsidRPr="00D85693">
        <w:rPr>
          <w:rFonts w:ascii="Times New Roman" w:hAnsi="Times New Roman"/>
          <w:sz w:val="24"/>
        </w:rPr>
        <w:t>Tijdens de periode waarin is gewerkt aan de aanpassing van dit wetsvoorstel naar aanleiding van het advies van de Raad van State, heeft de Europese Commissie een conceptrichtlijn inzake gepaste zorgvuldigheid in het bedrijfsleven op het gebied van duurzaamheid  gepubliceerd. De initiatiefnemers hebben van de gelegenheid gebruik gemaakt om alvast elementen uit die conceptrichtlijn over te nemen in dit wetsvoorstel. Daarnaast hebben ze ook enkele redactionele wijzigingen aangebracht. De wijzigingen worden hieronder kort beschreven. Voor een meer uitgebreide toelichting bij deze wijzigingen wordt verwezen naar de (artikelsgewijze) toelichting bij het wetsvoorstel.</w:t>
      </w:r>
    </w:p>
    <w:p w14:paraId="0ED447DD" w14:textId="77777777" w:rsidR="001534FD" w:rsidRPr="00D85693" w:rsidRDefault="001534FD" w:rsidP="001534FD">
      <w:pPr>
        <w:rPr>
          <w:rFonts w:ascii="Times New Roman" w:hAnsi="Times New Roman"/>
          <w:sz w:val="24"/>
        </w:rPr>
      </w:pPr>
    </w:p>
    <w:p w14:paraId="6C209DA0" w14:textId="6496C8A2" w:rsidR="001534FD" w:rsidRPr="00D85693" w:rsidRDefault="001534FD" w:rsidP="001534FD">
      <w:pPr>
        <w:rPr>
          <w:rFonts w:ascii="Times New Roman" w:hAnsi="Times New Roman"/>
          <w:sz w:val="24"/>
        </w:rPr>
      </w:pPr>
      <w:r w:rsidRPr="00D85693">
        <w:rPr>
          <w:rFonts w:ascii="Times New Roman" w:hAnsi="Times New Roman"/>
          <w:b/>
          <w:sz w:val="24"/>
        </w:rPr>
        <w:t>Hoofdstuk 1 Algemene bepalingen:</w:t>
      </w:r>
    </w:p>
    <w:p w14:paraId="481ADFBE" w14:textId="72CAE0D7" w:rsidR="001534FD" w:rsidRPr="00D85693" w:rsidRDefault="001534FD" w:rsidP="001534FD">
      <w:pPr>
        <w:rPr>
          <w:rFonts w:ascii="Times New Roman" w:hAnsi="Times New Roman"/>
          <w:sz w:val="24"/>
        </w:rPr>
      </w:pPr>
      <w:r w:rsidRPr="00D85693">
        <w:rPr>
          <w:rFonts w:ascii="Times New Roman" w:hAnsi="Times New Roman"/>
          <w:sz w:val="24"/>
        </w:rPr>
        <w:t xml:space="preserve"> </w:t>
      </w:r>
    </w:p>
    <w:p w14:paraId="4A0649B9" w14:textId="55A6B6B9" w:rsidR="001534FD" w:rsidRPr="00D85693" w:rsidRDefault="001534FD" w:rsidP="001534FD">
      <w:pPr>
        <w:rPr>
          <w:rFonts w:ascii="Times New Roman" w:hAnsi="Times New Roman"/>
          <w:sz w:val="24"/>
        </w:rPr>
      </w:pPr>
      <w:r w:rsidRPr="00D85693">
        <w:rPr>
          <w:rFonts w:ascii="Times New Roman" w:hAnsi="Times New Roman"/>
          <w:i/>
          <w:sz w:val="24"/>
        </w:rPr>
        <w:t>Begripsbepalingen</w:t>
      </w:r>
      <w:r w:rsidRPr="00D85693">
        <w:rPr>
          <w:rFonts w:ascii="Times New Roman" w:hAnsi="Times New Roman"/>
          <w:sz w:val="24"/>
        </w:rPr>
        <w:t xml:space="preserve"> Aan de begripsbepalingen in artikel 1.1 zijn de begrippen bestuurder, gemachtigde vertegenwoordiger, klimaatverandering, grote onderneming, midden- of kleinbedrijf, netto-omzet en raad van bestuur toegevoegd. De begripsbepalingen voor betrokkene, onderneming en zakenrelaties zijn aangevuld.</w:t>
      </w:r>
      <w:r w:rsidR="00001CC4" w:rsidRPr="00D85693">
        <w:rPr>
          <w:rFonts w:ascii="Times New Roman" w:hAnsi="Times New Roman"/>
          <w:sz w:val="24"/>
        </w:rPr>
        <w:t xml:space="preserve"> Hiervoor wordt aangesloten bij de begripsbepalingen in artikel 3 van de conceptrichtlijn.</w:t>
      </w:r>
    </w:p>
    <w:p w14:paraId="2E5EC517" w14:textId="33BBC101" w:rsidR="003C3F3B" w:rsidRPr="00D85693" w:rsidRDefault="001534FD">
      <w:pPr>
        <w:rPr>
          <w:rFonts w:ascii="Times New Roman" w:hAnsi="Times New Roman"/>
          <w:sz w:val="24"/>
        </w:rPr>
      </w:pPr>
      <w:r w:rsidRPr="00D85693">
        <w:rPr>
          <w:rFonts w:ascii="Times New Roman" w:hAnsi="Times New Roman"/>
          <w:sz w:val="24"/>
        </w:rPr>
        <w:t>De term “arbeidsrechten” wordt in het wetsvoorstel niet meer gebruikt, omdat arbeidsrechten beschouwd worden als onderdeel van het begrip mensenrechten.</w:t>
      </w:r>
      <w:r w:rsidR="00ED7662" w:rsidRPr="00D85693">
        <w:rPr>
          <w:rFonts w:ascii="Times New Roman" w:hAnsi="Times New Roman"/>
          <w:sz w:val="24"/>
        </w:rPr>
        <w:t xml:space="preserve"> </w:t>
      </w:r>
      <w:r w:rsidR="003C3F3B" w:rsidRPr="00D85693">
        <w:rPr>
          <w:rFonts w:ascii="Times New Roman" w:hAnsi="Times New Roman"/>
          <w:sz w:val="24"/>
        </w:rPr>
        <w:t xml:space="preserve">Er is een begripsomschrijving van </w:t>
      </w:r>
      <w:r w:rsidR="000E780C" w:rsidRPr="00D85693">
        <w:rPr>
          <w:rFonts w:ascii="Times New Roman" w:hAnsi="Times New Roman"/>
          <w:sz w:val="24"/>
        </w:rPr>
        <w:t xml:space="preserve">de </w:t>
      </w:r>
      <w:r w:rsidR="003C3F3B" w:rsidRPr="00D85693">
        <w:rPr>
          <w:rFonts w:ascii="Times New Roman" w:hAnsi="Times New Roman"/>
          <w:sz w:val="24"/>
        </w:rPr>
        <w:t>Rome II</w:t>
      </w:r>
      <w:r w:rsidR="000E780C" w:rsidRPr="00D85693">
        <w:rPr>
          <w:rFonts w:ascii="Times New Roman" w:hAnsi="Times New Roman"/>
          <w:sz w:val="24"/>
        </w:rPr>
        <w:t>-verordening</w:t>
      </w:r>
      <w:r w:rsidR="003C3F3B" w:rsidRPr="00D85693">
        <w:rPr>
          <w:rFonts w:ascii="Times New Roman" w:hAnsi="Times New Roman"/>
          <w:sz w:val="24"/>
        </w:rPr>
        <w:t xml:space="preserve"> opgenomen. </w:t>
      </w:r>
      <w:r w:rsidR="00ED7662" w:rsidRPr="00D85693">
        <w:rPr>
          <w:rFonts w:ascii="Times New Roman" w:hAnsi="Times New Roman"/>
          <w:sz w:val="24"/>
        </w:rPr>
        <w:t xml:space="preserve">De begrippen buitenlandse </w:t>
      </w:r>
      <w:r w:rsidR="00ED7662" w:rsidRPr="00D85693">
        <w:rPr>
          <w:rFonts w:ascii="Times New Roman" w:hAnsi="Times New Roman"/>
          <w:sz w:val="24"/>
        </w:rPr>
        <w:lastRenderedPageBreak/>
        <w:t>onderneming, raad van bestuur en waardeketen hebben een iets gewijzigde omschrijving gekregen.</w:t>
      </w:r>
    </w:p>
    <w:p w14:paraId="5BD6DEE5" w14:textId="77777777" w:rsidR="003C3F3B" w:rsidRPr="00D85693" w:rsidRDefault="003C3F3B" w:rsidP="003C3F3B">
      <w:pPr>
        <w:rPr>
          <w:rFonts w:ascii="Times New Roman" w:hAnsi="Times New Roman"/>
          <w:sz w:val="24"/>
        </w:rPr>
      </w:pPr>
    </w:p>
    <w:p w14:paraId="3A861E1B" w14:textId="12F22F03" w:rsidR="001534FD" w:rsidRPr="00D85693" w:rsidRDefault="001534FD" w:rsidP="001534FD">
      <w:pPr>
        <w:rPr>
          <w:rFonts w:ascii="Times New Roman" w:hAnsi="Times New Roman"/>
          <w:sz w:val="24"/>
        </w:rPr>
      </w:pPr>
      <w:r w:rsidRPr="00D85693">
        <w:rPr>
          <w:rFonts w:ascii="Times New Roman" w:hAnsi="Times New Roman"/>
          <w:i/>
          <w:sz w:val="24"/>
        </w:rPr>
        <w:t>Gemachtigde vertegenwoordiger</w:t>
      </w:r>
      <w:r w:rsidRPr="00D85693">
        <w:rPr>
          <w:rFonts w:ascii="Times New Roman" w:hAnsi="Times New Roman"/>
          <w:sz w:val="24"/>
        </w:rPr>
        <w:t xml:space="preserve"> Aan artikel 1.3 zijn, in lijn met artikel 16 van de conceptrichtlijn, voorschriften toegevoegd voor de aanwijzing van een gemachtigde vertegenwoordiger door buitenlandse ondernemingen.</w:t>
      </w:r>
    </w:p>
    <w:p w14:paraId="70023538" w14:textId="2C839510" w:rsidR="00ED7662" w:rsidRPr="00D85693" w:rsidRDefault="00ED7662" w:rsidP="001534FD">
      <w:pPr>
        <w:rPr>
          <w:rFonts w:ascii="Times New Roman" w:hAnsi="Times New Roman"/>
          <w:sz w:val="24"/>
        </w:rPr>
      </w:pPr>
    </w:p>
    <w:p w14:paraId="4EFA50C4" w14:textId="5E21FC2B" w:rsidR="00ED7662" w:rsidRPr="00D85693" w:rsidRDefault="00ED7662" w:rsidP="001534FD">
      <w:pPr>
        <w:rPr>
          <w:rFonts w:ascii="Times New Roman" w:hAnsi="Times New Roman"/>
          <w:sz w:val="24"/>
        </w:rPr>
      </w:pPr>
      <w:r w:rsidRPr="00D85693">
        <w:rPr>
          <w:rFonts w:ascii="Times New Roman" w:hAnsi="Times New Roman"/>
          <w:sz w:val="24"/>
        </w:rPr>
        <w:t>In artikel 1.2</w:t>
      </w:r>
      <w:r w:rsidR="00834520" w:rsidRPr="00D85693">
        <w:rPr>
          <w:rFonts w:ascii="Times New Roman" w:hAnsi="Times New Roman"/>
          <w:sz w:val="24"/>
        </w:rPr>
        <w:t xml:space="preserve">, eerste lid, </w:t>
      </w:r>
      <w:r w:rsidRPr="00D85693">
        <w:rPr>
          <w:rFonts w:ascii="Times New Roman" w:hAnsi="Times New Roman"/>
          <w:sz w:val="24"/>
        </w:rPr>
        <w:t>zijn de activiteiten van de zakenrelaties van een onderneming toegevoegd</w:t>
      </w:r>
      <w:r w:rsidR="00834520" w:rsidRPr="00D85693">
        <w:rPr>
          <w:rFonts w:ascii="Times New Roman" w:hAnsi="Times New Roman"/>
          <w:sz w:val="24"/>
        </w:rPr>
        <w:t xml:space="preserve"> en in onderdeel</w:t>
      </w:r>
      <w:r w:rsidRPr="00D85693">
        <w:rPr>
          <w:rFonts w:ascii="Times New Roman" w:hAnsi="Times New Roman"/>
          <w:sz w:val="24"/>
        </w:rPr>
        <w:t xml:space="preserve"> c is toegevoegd “of de relatie te verbreken”.</w:t>
      </w:r>
    </w:p>
    <w:p w14:paraId="1D867FE2" w14:textId="77777777" w:rsidR="001534FD" w:rsidRPr="00D85693" w:rsidRDefault="001534FD" w:rsidP="001534FD">
      <w:pPr>
        <w:rPr>
          <w:rFonts w:ascii="Times New Roman" w:hAnsi="Times New Roman"/>
          <w:sz w:val="24"/>
        </w:rPr>
      </w:pPr>
    </w:p>
    <w:p w14:paraId="463DD025" w14:textId="4CD3C503" w:rsidR="001534FD" w:rsidRPr="00D85693" w:rsidRDefault="001534FD" w:rsidP="001534FD">
      <w:pPr>
        <w:rPr>
          <w:rFonts w:ascii="Times New Roman" w:hAnsi="Times New Roman"/>
          <w:b/>
          <w:sz w:val="24"/>
        </w:rPr>
      </w:pPr>
      <w:r w:rsidRPr="00D85693">
        <w:rPr>
          <w:rFonts w:ascii="Times New Roman" w:hAnsi="Times New Roman"/>
          <w:b/>
          <w:sz w:val="24"/>
        </w:rPr>
        <w:t>Hoofdstuk 2 Gepaste zorgvuldigheid:</w:t>
      </w:r>
    </w:p>
    <w:p w14:paraId="7339D9BB" w14:textId="77777777" w:rsidR="001534FD" w:rsidRPr="00D85693" w:rsidRDefault="001534FD" w:rsidP="001534FD">
      <w:pPr>
        <w:rPr>
          <w:rFonts w:ascii="Times New Roman" w:hAnsi="Times New Roman"/>
          <w:b/>
          <w:sz w:val="24"/>
        </w:rPr>
      </w:pPr>
    </w:p>
    <w:p w14:paraId="4C66E937" w14:textId="2AB20192" w:rsidR="001534FD" w:rsidRPr="00D85693" w:rsidRDefault="001534FD" w:rsidP="001534FD">
      <w:pPr>
        <w:rPr>
          <w:rFonts w:ascii="Times New Roman" w:hAnsi="Times New Roman"/>
          <w:sz w:val="24"/>
        </w:rPr>
      </w:pPr>
      <w:r w:rsidRPr="00D85693">
        <w:rPr>
          <w:rFonts w:ascii="Times New Roman" w:hAnsi="Times New Roman"/>
          <w:i/>
          <w:sz w:val="24"/>
        </w:rPr>
        <w:t>Toepassingsbereik gepaste zorgvuldigheid</w:t>
      </w:r>
      <w:r w:rsidRPr="00D85693">
        <w:rPr>
          <w:rFonts w:ascii="Times New Roman" w:hAnsi="Times New Roman"/>
          <w:sz w:val="24"/>
        </w:rPr>
        <w:t xml:space="preserve"> </w:t>
      </w:r>
      <w:r w:rsidR="008B5309" w:rsidRPr="00D85693">
        <w:rPr>
          <w:rFonts w:ascii="Times New Roman" w:hAnsi="Times New Roman"/>
          <w:sz w:val="24"/>
        </w:rPr>
        <w:t xml:space="preserve">De gekozen reikwijdte in dit wetsvoorstel omvat alle bedrijven die voldoen aan in elk geval twee van drie criteria: een aantal werknemers van 250 of meer, een omzet van 40 miljoen euro een balanstotaal van 20 miljoen euro of meer. In de wet is nu ook een evaluatie binnen vijf jaar bepaald. Afhankelijk van de uitkomsten van deze evaluatie, waarbij </w:t>
      </w:r>
      <w:r w:rsidR="000E780C" w:rsidRPr="00D85693">
        <w:rPr>
          <w:rFonts w:ascii="Times New Roman" w:hAnsi="Times New Roman"/>
          <w:sz w:val="24"/>
        </w:rPr>
        <w:t>ook</w:t>
      </w:r>
      <w:r w:rsidR="008B5309" w:rsidRPr="00D85693">
        <w:rPr>
          <w:rFonts w:ascii="Times New Roman" w:hAnsi="Times New Roman"/>
          <w:sz w:val="24"/>
        </w:rPr>
        <w:t xml:space="preserve"> gekeken zal worden naar de administratieve lastendruk in de praktijk voor ondernemingen en de lasten voor de toezichthouder, wordt besloten of de gepaste zorgvuldigheidsverplichtingen ook voor middelgrote ondernemingen gaan gelden</w:t>
      </w:r>
      <w:r w:rsidR="000E780C" w:rsidRPr="00D85693">
        <w:rPr>
          <w:rFonts w:ascii="Times New Roman" w:hAnsi="Times New Roman"/>
          <w:sz w:val="24"/>
        </w:rPr>
        <w:t xml:space="preserve"> (zie artikel 4.5)</w:t>
      </w:r>
      <w:r w:rsidR="008B5309" w:rsidRPr="00D85693">
        <w:rPr>
          <w:rFonts w:ascii="Times New Roman" w:hAnsi="Times New Roman"/>
          <w:sz w:val="24"/>
        </w:rPr>
        <w:t xml:space="preserve">. </w:t>
      </w:r>
    </w:p>
    <w:p w14:paraId="4530040F" w14:textId="77777777" w:rsidR="001534FD" w:rsidRPr="00D85693" w:rsidRDefault="001534FD" w:rsidP="001534FD">
      <w:pPr>
        <w:rPr>
          <w:rFonts w:ascii="Times New Roman" w:hAnsi="Times New Roman"/>
          <w:sz w:val="24"/>
        </w:rPr>
      </w:pPr>
    </w:p>
    <w:p w14:paraId="2550FDBC" w14:textId="21DE7367" w:rsidR="004E3AA5" w:rsidRPr="00D85693" w:rsidRDefault="004E3AA5" w:rsidP="001534FD">
      <w:pPr>
        <w:rPr>
          <w:rFonts w:ascii="Times New Roman" w:hAnsi="Times New Roman"/>
          <w:sz w:val="24"/>
        </w:rPr>
      </w:pPr>
      <w:r w:rsidRPr="00D85693">
        <w:rPr>
          <w:rFonts w:ascii="Times New Roman" w:hAnsi="Times New Roman"/>
          <w:i/>
          <w:sz w:val="24"/>
        </w:rPr>
        <w:t xml:space="preserve">Gezamenlijke uitvoering </w:t>
      </w:r>
      <w:r w:rsidR="00613357" w:rsidRPr="00D85693">
        <w:rPr>
          <w:rFonts w:ascii="Times New Roman" w:hAnsi="Times New Roman"/>
          <w:sz w:val="24"/>
        </w:rPr>
        <w:t>In</w:t>
      </w:r>
      <w:r w:rsidRPr="00D85693">
        <w:rPr>
          <w:rFonts w:ascii="Times New Roman" w:hAnsi="Times New Roman"/>
          <w:sz w:val="24"/>
        </w:rPr>
        <w:t xml:space="preserve"> artikel 2.1.2 </w:t>
      </w:r>
      <w:r w:rsidR="00613357" w:rsidRPr="00D85693">
        <w:rPr>
          <w:rFonts w:ascii="Times New Roman" w:hAnsi="Times New Roman"/>
          <w:sz w:val="24"/>
        </w:rPr>
        <w:t xml:space="preserve">is </w:t>
      </w:r>
      <w:r w:rsidR="00834520" w:rsidRPr="00D85693">
        <w:rPr>
          <w:rFonts w:ascii="Times New Roman" w:hAnsi="Times New Roman"/>
          <w:sz w:val="24"/>
        </w:rPr>
        <w:t xml:space="preserve">daar een </w:t>
      </w:r>
      <w:r w:rsidR="000E780C" w:rsidRPr="00D85693">
        <w:rPr>
          <w:rFonts w:ascii="Times New Roman" w:hAnsi="Times New Roman"/>
          <w:sz w:val="24"/>
        </w:rPr>
        <w:t xml:space="preserve">laagdrempelige </w:t>
      </w:r>
      <w:r w:rsidR="00834520" w:rsidRPr="00D85693">
        <w:rPr>
          <w:rFonts w:ascii="Times New Roman" w:hAnsi="Times New Roman"/>
          <w:sz w:val="24"/>
        </w:rPr>
        <w:t>meldingsprocedure voor opgenomen.</w:t>
      </w:r>
      <w:r w:rsidR="00613357" w:rsidRPr="00D85693">
        <w:rPr>
          <w:rFonts w:ascii="Times New Roman" w:hAnsi="Times New Roman"/>
          <w:sz w:val="24"/>
        </w:rPr>
        <w:t xml:space="preserve"> </w:t>
      </w:r>
    </w:p>
    <w:p w14:paraId="2FB39F32" w14:textId="77777777" w:rsidR="009D34D1" w:rsidRPr="00D85693" w:rsidRDefault="009D34D1" w:rsidP="001534FD">
      <w:pPr>
        <w:rPr>
          <w:rFonts w:ascii="Times New Roman" w:hAnsi="Times New Roman"/>
          <w:i/>
          <w:sz w:val="24"/>
        </w:rPr>
      </w:pPr>
    </w:p>
    <w:p w14:paraId="5947AED3" w14:textId="778662CE" w:rsidR="009D34D1" w:rsidRPr="00D85693" w:rsidRDefault="009D34D1" w:rsidP="001534FD">
      <w:pPr>
        <w:rPr>
          <w:rFonts w:ascii="Times New Roman" w:hAnsi="Times New Roman"/>
          <w:sz w:val="24"/>
        </w:rPr>
      </w:pPr>
      <w:r w:rsidRPr="00D85693">
        <w:rPr>
          <w:rFonts w:ascii="Times New Roman" w:hAnsi="Times New Roman"/>
          <w:i/>
          <w:sz w:val="24"/>
        </w:rPr>
        <w:t xml:space="preserve">Beleidsdocument </w:t>
      </w:r>
      <w:r w:rsidRPr="00D85693">
        <w:rPr>
          <w:rFonts w:ascii="Times New Roman" w:hAnsi="Times New Roman"/>
          <w:sz w:val="24"/>
        </w:rPr>
        <w:t xml:space="preserve">In </w:t>
      </w:r>
      <w:r w:rsidR="00A61FDD" w:rsidRPr="00D85693">
        <w:rPr>
          <w:rFonts w:ascii="Times New Roman" w:hAnsi="Times New Roman"/>
          <w:sz w:val="24"/>
        </w:rPr>
        <w:t xml:space="preserve">het eerste lid </w:t>
      </w:r>
      <w:r w:rsidRPr="00D85693">
        <w:rPr>
          <w:rFonts w:ascii="Times New Roman" w:hAnsi="Times New Roman"/>
          <w:sz w:val="24"/>
        </w:rPr>
        <w:t xml:space="preserve">van artikel 2.2.1 is verduidelijkt dat dat een onderneming </w:t>
      </w:r>
      <w:r w:rsidR="000E780C" w:rsidRPr="00D85693">
        <w:rPr>
          <w:rFonts w:ascii="Times New Roman" w:hAnsi="Times New Roman"/>
          <w:sz w:val="24"/>
        </w:rPr>
        <w:t xml:space="preserve">het beleid </w:t>
      </w:r>
      <w:r w:rsidRPr="00D85693">
        <w:rPr>
          <w:rFonts w:ascii="Times New Roman" w:hAnsi="Times New Roman"/>
          <w:sz w:val="24"/>
        </w:rPr>
        <w:t>dient vast te stellen in een beleidsdocument.</w:t>
      </w:r>
    </w:p>
    <w:p w14:paraId="291096D7" w14:textId="77777777" w:rsidR="009D34D1" w:rsidRPr="00D85693" w:rsidRDefault="009D34D1" w:rsidP="001534FD">
      <w:pPr>
        <w:rPr>
          <w:rFonts w:ascii="Times New Roman" w:hAnsi="Times New Roman"/>
          <w:sz w:val="24"/>
        </w:rPr>
      </w:pPr>
    </w:p>
    <w:p w14:paraId="5CE1A26D" w14:textId="79896CD2" w:rsidR="00613357" w:rsidRPr="00D85693" w:rsidRDefault="001534FD" w:rsidP="001534FD">
      <w:pPr>
        <w:rPr>
          <w:rFonts w:ascii="Times New Roman" w:hAnsi="Times New Roman"/>
          <w:sz w:val="24"/>
        </w:rPr>
      </w:pPr>
      <w:r w:rsidRPr="00D85693">
        <w:rPr>
          <w:rFonts w:ascii="Times New Roman" w:hAnsi="Times New Roman"/>
          <w:i/>
          <w:sz w:val="24"/>
        </w:rPr>
        <w:t>Gedragscode</w:t>
      </w:r>
      <w:r w:rsidRPr="00D85693">
        <w:rPr>
          <w:rFonts w:ascii="Times New Roman" w:hAnsi="Times New Roman"/>
          <w:sz w:val="24"/>
        </w:rPr>
        <w:t xml:space="preserve"> Aan de </w:t>
      </w:r>
      <w:r w:rsidR="00834520" w:rsidRPr="00D85693">
        <w:rPr>
          <w:rFonts w:ascii="Times New Roman" w:hAnsi="Times New Roman"/>
          <w:sz w:val="24"/>
        </w:rPr>
        <w:t xml:space="preserve">voorschriften </w:t>
      </w:r>
      <w:r w:rsidRPr="00D85693">
        <w:rPr>
          <w:rFonts w:ascii="Times New Roman" w:hAnsi="Times New Roman"/>
          <w:sz w:val="24"/>
        </w:rPr>
        <w:t>voor het beleid van een onderneming is in artikel 2.2.1, derde lid,  onder b, de gedragscode toegevoegd.  De gedragscode is ontleend aan artikel 5, eerste lid, onder b, van de conceptrichtlijn. In lijn met het tweede lid van artikel 5 dient het beleidsdocument jaarlijks geactualiseerd te worden, in plaats van tweejaarlijks, zoals dit in het oorspronkelijke wetsvoorstel stond.</w:t>
      </w:r>
      <w:r w:rsidR="00613357" w:rsidRPr="00D85693">
        <w:rPr>
          <w:rFonts w:ascii="Times New Roman" w:hAnsi="Times New Roman"/>
          <w:sz w:val="24"/>
        </w:rPr>
        <w:t xml:space="preserve"> </w:t>
      </w:r>
    </w:p>
    <w:p w14:paraId="33573E6F" w14:textId="77777777" w:rsidR="00613357" w:rsidRPr="00D85693" w:rsidRDefault="00613357" w:rsidP="001534FD">
      <w:pPr>
        <w:rPr>
          <w:rFonts w:ascii="Times New Roman" w:hAnsi="Times New Roman"/>
          <w:sz w:val="24"/>
        </w:rPr>
      </w:pPr>
    </w:p>
    <w:p w14:paraId="230DD1A7" w14:textId="2820BB63" w:rsidR="001534FD" w:rsidRPr="00D85693" w:rsidRDefault="00613357" w:rsidP="001534FD">
      <w:pPr>
        <w:rPr>
          <w:rFonts w:ascii="Times New Roman" w:hAnsi="Times New Roman"/>
          <w:sz w:val="24"/>
        </w:rPr>
      </w:pPr>
      <w:r w:rsidRPr="00D85693">
        <w:rPr>
          <w:rFonts w:ascii="Times New Roman" w:hAnsi="Times New Roman"/>
          <w:sz w:val="24"/>
        </w:rPr>
        <w:t>In</w:t>
      </w:r>
      <w:r w:rsidR="00A61FDD" w:rsidRPr="00D85693">
        <w:rPr>
          <w:rFonts w:ascii="Times New Roman" w:hAnsi="Times New Roman"/>
          <w:sz w:val="24"/>
        </w:rPr>
        <w:t xml:space="preserve"> het tweede lid </w:t>
      </w:r>
      <w:r w:rsidRPr="00D85693">
        <w:rPr>
          <w:rFonts w:ascii="Times New Roman" w:hAnsi="Times New Roman"/>
          <w:sz w:val="24"/>
        </w:rPr>
        <w:t xml:space="preserve">van artikel 2.2.1 is het woord “medewerkers” geschrapt omdat medewerkers al onder betrokkenen vallen. </w:t>
      </w:r>
      <w:r w:rsidR="009D34D1" w:rsidRPr="00D85693">
        <w:rPr>
          <w:rFonts w:ascii="Times New Roman" w:hAnsi="Times New Roman"/>
          <w:sz w:val="24"/>
        </w:rPr>
        <w:t>In het vijfde lid onder a is “zakenrelaties” geschrapt.</w:t>
      </w:r>
    </w:p>
    <w:p w14:paraId="114BD130" w14:textId="77777777" w:rsidR="001534FD" w:rsidRPr="00D85693" w:rsidRDefault="001534FD" w:rsidP="001534FD">
      <w:pPr>
        <w:rPr>
          <w:rFonts w:ascii="Times New Roman" w:hAnsi="Times New Roman"/>
          <w:sz w:val="24"/>
        </w:rPr>
      </w:pPr>
    </w:p>
    <w:p w14:paraId="6430B202" w14:textId="6B2E4086" w:rsidR="001534FD" w:rsidRPr="00D85693" w:rsidRDefault="001534FD" w:rsidP="001534FD">
      <w:pPr>
        <w:rPr>
          <w:rFonts w:ascii="Times New Roman" w:hAnsi="Times New Roman"/>
          <w:sz w:val="24"/>
        </w:rPr>
      </w:pPr>
      <w:r w:rsidRPr="00D85693">
        <w:rPr>
          <w:rFonts w:ascii="Times New Roman" w:hAnsi="Times New Roman"/>
          <w:i/>
          <w:sz w:val="24"/>
        </w:rPr>
        <w:t>Bestuurders</w:t>
      </w:r>
      <w:r w:rsidRPr="00D85693">
        <w:rPr>
          <w:rFonts w:ascii="Times New Roman" w:hAnsi="Times New Roman"/>
          <w:sz w:val="24"/>
        </w:rPr>
        <w:t xml:space="preserve"> In lijn met artikel 26, eerste lid, van de conceptrichtlijn schrijft artikel 2.2.2, eerste lid, van dit wetsvoorstel voor dat een onderneming de verantwoordelijkheid voor zowel de in- als de uitvoering van het beleid belegt bij een bestuurder. In navolging van artikel 15, derde lid, van de conceptrichtlijn, schrijft artikel 2.2.2, tweede lid, voor dat bij eventuele variabele beloning van bestuurders ook rekening gehouden dient te worden met zijn of haar bijdrage aan het opstellen en naleven van een klimaatplan.</w:t>
      </w:r>
    </w:p>
    <w:p w14:paraId="686E4033" w14:textId="176314E9" w:rsidR="00613357" w:rsidRPr="00D85693" w:rsidRDefault="00613357" w:rsidP="001534FD">
      <w:pPr>
        <w:rPr>
          <w:rFonts w:ascii="Times New Roman" w:hAnsi="Times New Roman"/>
          <w:sz w:val="24"/>
        </w:rPr>
      </w:pPr>
    </w:p>
    <w:p w14:paraId="3B29D55D" w14:textId="75606E9A" w:rsidR="001534FD" w:rsidRPr="00D85693" w:rsidRDefault="001534FD" w:rsidP="001534FD">
      <w:pPr>
        <w:rPr>
          <w:rFonts w:ascii="Times New Roman" w:hAnsi="Times New Roman"/>
          <w:sz w:val="24"/>
        </w:rPr>
      </w:pPr>
      <w:r w:rsidRPr="00D85693">
        <w:rPr>
          <w:rFonts w:ascii="Times New Roman" w:hAnsi="Times New Roman"/>
          <w:i/>
          <w:sz w:val="24"/>
        </w:rPr>
        <w:t>Garanties</w:t>
      </w:r>
      <w:r w:rsidRPr="00D85693">
        <w:rPr>
          <w:rFonts w:ascii="Times New Roman" w:hAnsi="Times New Roman"/>
          <w:sz w:val="24"/>
        </w:rPr>
        <w:t xml:space="preserve"> Het vijfde lid van artikel 2.2.2 schrijft voor dat ondernemingen in overeenkomsten voorwaarden opnemen ter verkrijging van garanties van zakenrelaties, dat zij de gedragscode zoals hiervoor genoemd naleven en, zo nodig, over het opstellen van een corrigerend actieplan. Dit is opgenomen in lijn met de artikelen 7, vierde lid, en 8, vijfde lid, van de conceptrichtlijn.</w:t>
      </w:r>
    </w:p>
    <w:p w14:paraId="31711F0C" w14:textId="77777777" w:rsidR="001534FD" w:rsidRPr="00D85693" w:rsidRDefault="001534FD" w:rsidP="001534FD">
      <w:pPr>
        <w:rPr>
          <w:rFonts w:ascii="Times New Roman" w:hAnsi="Times New Roman"/>
          <w:i/>
          <w:sz w:val="24"/>
        </w:rPr>
      </w:pPr>
    </w:p>
    <w:p w14:paraId="0C98BCF5" w14:textId="5A85A7BC" w:rsidR="008A2A61" w:rsidRPr="00D85693" w:rsidRDefault="008A2A61" w:rsidP="001534FD">
      <w:pPr>
        <w:rPr>
          <w:rFonts w:ascii="Times New Roman" w:hAnsi="Times New Roman"/>
          <w:sz w:val="24"/>
        </w:rPr>
      </w:pPr>
      <w:r w:rsidRPr="00D85693">
        <w:rPr>
          <w:rFonts w:ascii="Times New Roman" w:hAnsi="Times New Roman"/>
          <w:i/>
          <w:sz w:val="24"/>
        </w:rPr>
        <w:lastRenderedPageBreak/>
        <w:t>Risicoanalyse</w:t>
      </w:r>
      <w:r w:rsidR="005C46E1" w:rsidRPr="00D85693">
        <w:rPr>
          <w:rFonts w:ascii="Times New Roman" w:hAnsi="Times New Roman"/>
          <w:i/>
          <w:sz w:val="24"/>
        </w:rPr>
        <w:t xml:space="preserve"> en klimaatplan</w:t>
      </w:r>
      <w:r w:rsidRPr="00D85693">
        <w:rPr>
          <w:rFonts w:ascii="Times New Roman" w:hAnsi="Times New Roman"/>
          <w:i/>
          <w:sz w:val="24"/>
        </w:rPr>
        <w:t xml:space="preserve"> </w:t>
      </w:r>
      <w:r w:rsidRPr="00D85693">
        <w:rPr>
          <w:rFonts w:ascii="Times New Roman" w:hAnsi="Times New Roman"/>
          <w:sz w:val="24"/>
        </w:rPr>
        <w:t xml:space="preserve"> </w:t>
      </w:r>
      <w:r w:rsidR="001534FD" w:rsidRPr="00D85693">
        <w:rPr>
          <w:rFonts w:ascii="Times New Roman" w:hAnsi="Times New Roman"/>
          <w:sz w:val="24"/>
        </w:rPr>
        <w:t xml:space="preserve">In de risicoanalyse die wordt voorgeschreven in artikel 2.3.1, eerste lid, van het wetsvoorstel is ook klimaatverandering </w:t>
      </w:r>
      <w:r w:rsidR="007D264E" w:rsidRPr="00D85693">
        <w:rPr>
          <w:rFonts w:ascii="Times New Roman" w:hAnsi="Times New Roman"/>
          <w:sz w:val="24"/>
        </w:rPr>
        <w:t>toegevoegd</w:t>
      </w:r>
      <w:r w:rsidR="001534FD" w:rsidRPr="00D85693">
        <w:rPr>
          <w:rFonts w:ascii="Times New Roman" w:hAnsi="Times New Roman"/>
          <w:sz w:val="24"/>
        </w:rPr>
        <w:t xml:space="preserve">. Dit is toegevoegd, omdat de conceptrichtlijn ook de verplichting heeft opgenomen dat ondernemingen een klimaatplan opstellen. In het wetsvoorstel wordt deze verplichting een onderdeel van de voorschriften voor gepaste zorgvuldigheid. </w:t>
      </w:r>
      <w:r w:rsidR="005C46E1" w:rsidRPr="00D85693">
        <w:rPr>
          <w:rFonts w:ascii="Times New Roman" w:hAnsi="Times New Roman"/>
          <w:sz w:val="24"/>
        </w:rPr>
        <w:t xml:space="preserve">Dit klimaatplan is het onderwerp van </w:t>
      </w:r>
      <w:r w:rsidR="001534FD" w:rsidRPr="00D85693">
        <w:rPr>
          <w:rFonts w:ascii="Times New Roman" w:hAnsi="Times New Roman"/>
          <w:sz w:val="24"/>
        </w:rPr>
        <w:t xml:space="preserve">een nieuw </w:t>
      </w:r>
      <w:r w:rsidR="005C46E1" w:rsidRPr="00D85693">
        <w:rPr>
          <w:rFonts w:ascii="Times New Roman" w:hAnsi="Times New Roman"/>
          <w:sz w:val="24"/>
        </w:rPr>
        <w:t xml:space="preserve">toegevoegd </w:t>
      </w:r>
      <w:r w:rsidR="001534FD" w:rsidRPr="00D85693">
        <w:rPr>
          <w:rFonts w:ascii="Times New Roman" w:hAnsi="Times New Roman"/>
          <w:sz w:val="24"/>
        </w:rPr>
        <w:t xml:space="preserve">artikel 2.4.2. </w:t>
      </w:r>
    </w:p>
    <w:p w14:paraId="53AF63B9" w14:textId="77777777" w:rsidR="008A2A61" w:rsidRPr="00D85693" w:rsidRDefault="008A2A61" w:rsidP="001534FD">
      <w:pPr>
        <w:rPr>
          <w:rFonts w:ascii="Times New Roman" w:hAnsi="Times New Roman"/>
          <w:sz w:val="24"/>
        </w:rPr>
      </w:pPr>
    </w:p>
    <w:p w14:paraId="20879216" w14:textId="12F3F1D6" w:rsidR="005C46E1" w:rsidRPr="00D85693" w:rsidRDefault="008A2A61" w:rsidP="001534FD">
      <w:pPr>
        <w:rPr>
          <w:rFonts w:ascii="Times New Roman" w:hAnsi="Times New Roman"/>
          <w:sz w:val="24"/>
        </w:rPr>
      </w:pPr>
      <w:r w:rsidRPr="00D85693">
        <w:rPr>
          <w:rFonts w:ascii="Times New Roman" w:hAnsi="Times New Roman"/>
          <w:i/>
          <w:sz w:val="24"/>
        </w:rPr>
        <w:t xml:space="preserve">Plan van aanpak risico’s </w:t>
      </w:r>
      <w:r w:rsidRPr="00D85693">
        <w:rPr>
          <w:rFonts w:ascii="Times New Roman" w:hAnsi="Times New Roman"/>
          <w:sz w:val="24"/>
        </w:rPr>
        <w:t>Aan</w:t>
      </w:r>
      <w:r w:rsidR="007D264E" w:rsidRPr="00D85693">
        <w:rPr>
          <w:rFonts w:ascii="Times New Roman" w:hAnsi="Times New Roman"/>
          <w:sz w:val="24"/>
        </w:rPr>
        <w:t xml:space="preserve"> het eerste lid </w:t>
      </w:r>
      <w:r w:rsidRPr="00D85693">
        <w:rPr>
          <w:rFonts w:ascii="Times New Roman" w:hAnsi="Times New Roman"/>
          <w:sz w:val="24"/>
        </w:rPr>
        <w:t xml:space="preserve">van artikel 2.4.1 is toegevoegd dat een plan van aanpak ook moet zien op eventuele beëindiging van de </w:t>
      </w:r>
      <w:r w:rsidR="005C46E1" w:rsidRPr="00D85693">
        <w:rPr>
          <w:rFonts w:ascii="Times New Roman" w:hAnsi="Times New Roman"/>
          <w:sz w:val="24"/>
        </w:rPr>
        <w:t>risico’s op nadelige gevolgen.</w:t>
      </w:r>
      <w:r w:rsidR="007D264E" w:rsidRPr="00D85693">
        <w:rPr>
          <w:rFonts w:ascii="Times New Roman" w:hAnsi="Times New Roman"/>
          <w:sz w:val="24"/>
        </w:rPr>
        <w:t xml:space="preserve"> Het vierde lid </w:t>
      </w:r>
      <w:r w:rsidR="005C46E1" w:rsidRPr="00D85693">
        <w:rPr>
          <w:rFonts w:ascii="Times New Roman" w:hAnsi="Times New Roman"/>
          <w:sz w:val="24"/>
        </w:rPr>
        <w:t>omschrijft nader dat het gaat om nadelige gevolgen voor mensenrechten en het milieu. Een nieuw</w:t>
      </w:r>
      <w:r w:rsidR="007D264E" w:rsidRPr="00D85693">
        <w:rPr>
          <w:rFonts w:ascii="Times New Roman" w:hAnsi="Times New Roman"/>
          <w:sz w:val="24"/>
        </w:rPr>
        <w:t xml:space="preserve"> vijfde lid </w:t>
      </w:r>
      <w:r w:rsidR="005C46E1" w:rsidRPr="00D85693">
        <w:rPr>
          <w:rFonts w:ascii="Times New Roman" w:hAnsi="Times New Roman"/>
          <w:sz w:val="24"/>
        </w:rPr>
        <w:t>bepaalt dat een plan van aanpak op toegankelijke wijze gepubliceerd wordt.</w:t>
      </w:r>
    </w:p>
    <w:p w14:paraId="2DF67545" w14:textId="77777777" w:rsidR="00FC30BF" w:rsidRPr="00D85693" w:rsidRDefault="00FC30BF" w:rsidP="001534FD">
      <w:pPr>
        <w:rPr>
          <w:rFonts w:ascii="Times New Roman" w:hAnsi="Times New Roman"/>
          <w:sz w:val="24"/>
        </w:rPr>
      </w:pPr>
    </w:p>
    <w:p w14:paraId="6F82EC61" w14:textId="3391578A" w:rsidR="0049499B" w:rsidRPr="00D85693" w:rsidRDefault="0049499B" w:rsidP="001534FD">
      <w:pPr>
        <w:rPr>
          <w:rFonts w:ascii="Times New Roman" w:hAnsi="Times New Roman"/>
          <w:sz w:val="24"/>
        </w:rPr>
      </w:pPr>
      <w:r w:rsidRPr="00D85693">
        <w:rPr>
          <w:rFonts w:ascii="Times New Roman" w:hAnsi="Times New Roman"/>
          <w:i/>
          <w:sz w:val="24"/>
        </w:rPr>
        <w:t>Beëindiging van een eigen activiteit</w:t>
      </w:r>
      <w:r w:rsidRPr="00D85693">
        <w:rPr>
          <w:rFonts w:ascii="Times New Roman" w:hAnsi="Times New Roman"/>
          <w:sz w:val="24"/>
        </w:rPr>
        <w:t xml:space="preserve"> Bij de beoordeling van de vraag of een eigen activiteit beëindigd dient te worden, kan ook rekening gehouden worden met de visie van experts. Dit is toegevoegd aan artikel 2.4.3</w:t>
      </w:r>
      <w:r w:rsidR="00A61FDD" w:rsidRPr="00D85693">
        <w:rPr>
          <w:rFonts w:ascii="Times New Roman" w:hAnsi="Times New Roman"/>
          <w:sz w:val="24"/>
        </w:rPr>
        <w:t>, tweede</w:t>
      </w:r>
      <w:r w:rsidRPr="00D85693">
        <w:rPr>
          <w:rFonts w:ascii="Times New Roman" w:hAnsi="Times New Roman"/>
          <w:sz w:val="24"/>
        </w:rPr>
        <w:t xml:space="preserve"> lid</w:t>
      </w:r>
      <w:r w:rsidR="00A61FDD" w:rsidRPr="00D85693">
        <w:rPr>
          <w:rFonts w:ascii="Times New Roman" w:hAnsi="Times New Roman"/>
          <w:sz w:val="24"/>
        </w:rPr>
        <w:t xml:space="preserve">, </w:t>
      </w:r>
      <w:r w:rsidRPr="00D85693">
        <w:rPr>
          <w:rFonts w:ascii="Times New Roman" w:hAnsi="Times New Roman"/>
          <w:sz w:val="24"/>
        </w:rPr>
        <w:t>onder e.</w:t>
      </w:r>
    </w:p>
    <w:p w14:paraId="24771F06" w14:textId="2F231299" w:rsidR="00337AF8" w:rsidRPr="00D85693" w:rsidRDefault="00337AF8" w:rsidP="001534FD">
      <w:pPr>
        <w:rPr>
          <w:rFonts w:ascii="Times New Roman" w:hAnsi="Times New Roman"/>
          <w:sz w:val="24"/>
        </w:rPr>
      </w:pPr>
    </w:p>
    <w:p w14:paraId="6F8D4C40" w14:textId="0037A893" w:rsidR="00337AF8" w:rsidRPr="00D85693" w:rsidRDefault="00337AF8" w:rsidP="001534FD">
      <w:pPr>
        <w:rPr>
          <w:rFonts w:ascii="Times New Roman" w:hAnsi="Times New Roman"/>
          <w:sz w:val="24"/>
        </w:rPr>
      </w:pPr>
      <w:r w:rsidRPr="00D85693">
        <w:rPr>
          <w:rFonts w:ascii="Times New Roman" w:hAnsi="Times New Roman"/>
          <w:i/>
          <w:sz w:val="24"/>
        </w:rPr>
        <w:t>Beïnvloeding zakenrelatie</w:t>
      </w:r>
      <w:r w:rsidRPr="00D85693">
        <w:rPr>
          <w:rFonts w:ascii="Times New Roman" w:hAnsi="Times New Roman"/>
          <w:sz w:val="24"/>
        </w:rPr>
        <w:t xml:space="preserve"> De titel van artikel 2.4.4 luidt nu “Beïnvloeding zakenrelatie” in plaats van “Beëindiging van relatie met zakenrelatie”.</w:t>
      </w:r>
    </w:p>
    <w:p w14:paraId="2F630EE0" w14:textId="77777777" w:rsidR="0049499B" w:rsidRPr="00D85693" w:rsidRDefault="0049499B" w:rsidP="001534FD">
      <w:pPr>
        <w:rPr>
          <w:rFonts w:ascii="Times New Roman" w:hAnsi="Times New Roman"/>
          <w:i/>
          <w:sz w:val="24"/>
        </w:rPr>
      </w:pPr>
    </w:p>
    <w:p w14:paraId="2B6DD4BA" w14:textId="44814C90" w:rsidR="001534FD" w:rsidRPr="00D85693" w:rsidRDefault="001534FD" w:rsidP="001534FD">
      <w:pPr>
        <w:rPr>
          <w:rFonts w:ascii="Times New Roman" w:hAnsi="Times New Roman"/>
          <w:sz w:val="24"/>
        </w:rPr>
      </w:pPr>
      <w:r w:rsidRPr="00D85693">
        <w:rPr>
          <w:rFonts w:ascii="Times New Roman" w:hAnsi="Times New Roman"/>
          <w:i/>
          <w:sz w:val="24"/>
        </w:rPr>
        <w:t>Gezamenlijke monitoring</w:t>
      </w:r>
      <w:r w:rsidRPr="00D85693">
        <w:rPr>
          <w:rFonts w:ascii="Times New Roman" w:hAnsi="Times New Roman"/>
          <w:sz w:val="24"/>
        </w:rPr>
        <w:t xml:space="preserve"> Aan artikel 2.5.1 dat gaat over de monitoring als onderdeel van het proces van gepaste zorgvuldigheid is, onder vernummering, een nieuw vierde lid toegevoegd dat bepaalt dat monitoring ook tezamen met andere ondernemingen gedaan kan worden, of door een onafhankelijke derde partij. Hiermee wordt aangesloten bij de artikelen 7, vierde lid, en 8, vijfde lid, van de conceptrichtlijn. </w:t>
      </w:r>
    </w:p>
    <w:p w14:paraId="5911B2B1" w14:textId="77777777" w:rsidR="00FC30BF" w:rsidRPr="00D85693" w:rsidRDefault="00FC30BF" w:rsidP="001534FD">
      <w:pPr>
        <w:rPr>
          <w:rFonts w:ascii="Times New Roman" w:hAnsi="Times New Roman"/>
          <w:sz w:val="24"/>
        </w:rPr>
      </w:pPr>
    </w:p>
    <w:p w14:paraId="2F86A369" w14:textId="51EB835C" w:rsidR="001534FD" w:rsidRPr="00D85693" w:rsidRDefault="001534FD" w:rsidP="001534FD">
      <w:pPr>
        <w:rPr>
          <w:rFonts w:ascii="Times New Roman" w:hAnsi="Times New Roman"/>
          <w:sz w:val="24"/>
        </w:rPr>
      </w:pPr>
      <w:r w:rsidRPr="00D85693">
        <w:rPr>
          <w:rFonts w:ascii="Times New Roman" w:hAnsi="Times New Roman"/>
          <w:i/>
          <w:sz w:val="24"/>
        </w:rPr>
        <w:t>Rapportage</w:t>
      </w:r>
      <w:r w:rsidRPr="00D85693">
        <w:rPr>
          <w:rFonts w:ascii="Times New Roman" w:hAnsi="Times New Roman"/>
          <w:sz w:val="24"/>
        </w:rPr>
        <w:t xml:space="preserve"> Vanwege de verantwoordelijkheid voor de in- en de uitvoering van het beleid - die de conceptrichtlijn neerlegt bij een bestuurder van een onderneming - is in artikel 2.6.1 een nieuw eerste lid opgenomen, dat voorschrijft dat de bestuurder hierover jaarlijks aan de raad van bestuur rapporteert. Dit is in lijn met artikel 26, eerste lid, van de conceptrichtlijn. </w:t>
      </w:r>
    </w:p>
    <w:p w14:paraId="531B522A" w14:textId="77777777" w:rsidR="00193A44" w:rsidRPr="00D85693" w:rsidRDefault="00193A44" w:rsidP="001534FD">
      <w:pPr>
        <w:rPr>
          <w:rFonts w:ascii="Times New Roman" w:hAnsi="Times New Roman"/>
          <w:sz w:val="24"/>
        </w:rPr>
      </w:pPr>
    </w:p>
    <w:p w14:paraId="26EF138F" w14:textId="69D816D5" w:rsidR="00461CD3" w:rsidRPr="00D85693" w:rsidRDefault="001534FD" w:rsidP="001534FD">
      <w:pPr>
        <w:rPr>
          <w:rFonts w:ascii="Times New Roman" w:hAnsi="Times New Roman"/>
          <w:sz w:val="24"/>
        </w:rPr>
      </w:pPr>
      <w:r w:rsidRPr="00D85693">
        <w:rPr>
          <w:rFonts w:ascii="Times New Roman" w:hAnsi="Times New Roman"/>
          <w:i/>
          <w:sz w:val="24"/>
        </w:rPr>
        <w:t xml:space="preserve">Herstel  </w:t>
      </w:r>
      <w:r w:rsidRPr="00D85693">
        <w:rPr>
          <w:rFonts w:ascii="Times New Roman" w:hAnsi="Times New Roman"/>
          <w:sz w:val="24"/>
        </w:rPr>
        <w:t xml:space="preserve">Wat betreft de stap ‘herstel’ in het proces van gepaste zorgvuldigheid is, in lijn met artikel 9, vierde lid, van de conceptrichtlijn aan artikel 2.7.1 toegevoegd dat de verantwoordelijke bestuurder een gesprek heeft met de klagende betrokkene over </w:t>
      </w:r>
      <w:r w:rsidR="00996C2C" w:rsidRPr="00D85693">
        <w:rPr>
          <w:rFonts w:ascii="Times New Roman" w:hAnsi="Times New Roman"/>
          <w:i/>
          <w:iCs/>
          <w:sz w:val="24"/>
        </w:rPr>
        <w:t>ernstige</w:t>
      </w:r>
      <w:r w:rsidR="00996C2C" w:rsidRPr="00D85693">
        <w:rPr>
          <w:rFonts w:ascii="Times New Roman" w:hAnsi="Times New Roman"/>
          <w:sz w:val="24"/>
        </w:rPr>
        <w:t xml:space="preserve"> </w:t>
      </w:r>
      <w:r w:rsidRPr="00D85693">
        <w:rPr>
          <w:rFonts w:ascii="Times New Roman" w:hAnsi="Times New Roman"/>
          <w:sz w:val="24"/>
        </w:rPr>
        <w:t>nadelige gevolgen. De klagende betrokkene moet ook over het vervolg van de klacht geïnformeerd worden.</w:t>
      </w:r>
    </w:p>
    <w:p w14:paraId="5B37C3B1" w14:textId="51939CB1" w:rsidR="001534FD" w:rsidRPr="00D85693" w:rsidRDefault="001534FD" w:rsidP="001534FD">
      <w:pPr>
        <w:rPr>
          <w:rFonts w:ascii="Times New Roman" w:hAnsi="Times New Roman"/>
          <w:sz w:val="24"/>
        </w:rPr>
      </w:pPr>
      <w:r w:rsidRPr="00D85693">
        <w:rPr>
          <w:rFonts w:ascii="Times New Roman" w:hAnsi="Times New Roman"/>
          <w:sz w:val="24"/>
        </w:rPr>
        <w:t xml:space="preserve"> </w:t>
      </w:r>
    </w:p>
    <w:p w14:paraId="055B4142" w14:textId="44B4E812" w:rsidR="001534FD" w:rsidRPr="00D85693" w:rsidRDefault="00461CD3" w:rsidP="001534FD">
      <w:pPr>
        <w:rPr>
          <w:rFonts w:ascii="Times New Roman" w:hAnsi="Times New Roman"/>
          <w:sz w:val="24"/>
        </w:rPr>
      </w:pPr>
      <w:r w:rsidRPr="00D85693">
        <w:rPr>
          <w:rFonts w:ascii="Times New Roman" w:hAnsi="Times New Roman"/>
          <w:sz w:val="24"/>
        </w:rPr>
        <w:t>Artikel</w:t>
      </w:r>
      <w:r w:rsidR="001534FD" w:rsidRPr="00D85693">
        <w:rPr>
          <w:rFonts w:ascii="Times New Roman" w:hAnsi="Times New Roman"/>
          <w:sz w:val="24"/>
        </w:rPr>
        <w:t xml:space="preserve"> 2.7.2</w:t>
      </w:r>
      <w:r w:rsidRPr="00D85693">
        <w:rPr>
          <w:rFonts w:ascii="Times New Roman" w:hAnsi="Times New Roman"/>
          <w:sz w:val="24"/>
        </w:rPr>
        <w:t xml:space="preserve"> is in de plaats gekomen van artikel 2.8. In dit artikel worden herstelmaatregelen omschreven. Behalve veroorzaken, of bijdragen aan is</w:t>
      </w:r>
      <w:r w:rsidR="00C67CAF" w:rsidRPr="00D85693">
        <w:rPr>
          <w:rFonts w:ascii="Times New Roman" w:hAnsi="Times New Roman"/>
          <w:sz w:val="24"/>
        </w:rPr>
        <w:t xml:space="preserve"> het eerste lid </w:t>
      </w:r>
      <w:r w:rsidRPr="00D85693">
        <w:rPr>
          <w:rFonts w:ascii="Times New Roman" w:hAnsi="Times New Roman"/>
          <w:sz w:val="24"/>
        </w:rPr>
        <w:t>toegevoegd de mogelijkheid dat een onderneming direct in verband staat met nadelige gevolgen voor mensenrechten of milieu. In</w:t>
      </w:r>
      <w:r w:rsidR="00C67CAF" w:rsidRPr="00D85693">
        <w:rPr>
          <w:rFonts w:ascii="Times New Roman" w:hAnsi="Times New Roman"/>
          <w:sz w:val="24"/>
        </w:rPr>
        <w:t xml:space="preserve"> het tweede lid </w:t>
      </w:r>
      <w:r w:rsidRPr="00D85693">
        <w:rPr>
          <w:rFonts w:ascii="Times New Roman" w:hAnsi="Times New Roman"/>
          <w:sz w:val="24"/>
        </w:rPr>
        <w:t xml:space="preserve">is toegevoegd dat de betrokkenheid in de tijd kan verschuiven van de ene vorm naar een andere. </w:t>
      </w:r>
      <w:r w:rsidR="00322BB2" w:rsidRPr="00D85693">
        <w:rPr>
          <w:rFonts w:ascii="Times New Roman" w:hAnsi="Times New Roman"/>
          <w:sz w:val="24"/>
        </w:rPr>
        <w:t>In het</w:t>
      </w:r>
      <w:r w:rsidR="001534FD" w:rsidRPr="00D85693">
        <w:rPr>
          <w:rFonts w:ascii="Times New Roman" w:hAnsi="Times New Roman"/>
          <w:sz w:val="24"/>
        </w:rPr>
        <w:t xml:space="preserve"> derde lid is expliciet vergoeding van geleden schade aan de getroffen personen of groep personen als concrete maatregel van herstel opgenomen. In lijn met artikel 8, derde lid, onder a, van de conceptrichtlijn is </w:t>
      </w:r>
      <w:r w:rsidR="00322BB2" w:rsidRPr="00D85693">
        <w:rPr>
          <w:rFonts w:ascii="Times New Roman" w:hAnsi="Times New Roman"/>
          <w:sz w:val="24"/>
        </w:rPr>
        <w:t xml:space="preserve">hierin </w:t>
      </w:r>
      <w:r w:rsidR="001534FD" w:rsidRPr="00D85693">
        <w:rPr>
          <w:rFonts w:ascii="Times New Roman" w:hAnsi="Times New Roman"/>
          <w:sz w:val="24"/>
        </w:rPr>
        <w:t xml:space="preserve">ook </w:t>
      </w:r>
      <w:r w:rsidR="00322BB2" w:rsidRPr="00D85693">
        <w:rPr>
          <w:rFonts w:ascii="Times New Roman" w:hAnsi="Times New Roman"/>
          <w:sz w:val="24"/>
        </w:rPr>
        <w:t xml:space="preserve">de mogelijkheid van </w:t>
      </w:r>
      <w:r w:rsidR="001534FD" w:rsidRPr="00D85693">
        <w:rPr>
          <w:rFonts w:ascii="Times New Roman" w:hAnsi="Times New Roman"/>
          <w:sz w:val="24"/>
        </w:rPr>
        <w:t>financiële compensatie voor de getroffen gemeenschap opgenomen</w:t>
      </w:r>
      <w:r w:rsidR="00322BB2" w:rsidRPr="00D85693">
        <w:rPr>
          <w:rFonts w:ascii="Times New Roman" w:hAnsi="Times New Roman"/>
          <w:sz w:val="24"/>
        </w:rPr>
        <w:t xml:space="preserve">. </w:t>
      </w:r>
    </w:p>
    <w:p w14:paraId="0CF2CE10" w14:textId="77777777" w:rsidR="00FC30BF" w:rsidRPr="00D85693" w:rsidRDefault="00FC30BF" w:rsidP="001534FD">
      <w:pPr>
        <w:rPr>
          <w:rFonts w:ascii="Times New Roman" w:hAnsi="Times New Roman"/>
          <w:sz w:val="24"/>
        </w:rPr>
      </w:pPr>
    </w:p>
    <w:p w14:paraId="18E3404B" w14:textId="60C88413" w:rsidR="001534FD" w:rsidRPr="00D85693" w:rsidRDefault="00FC30BF" w:rsidP="001534FD">
      <w:pPr>
        <w:rPr>
          <w:rFonts w:ascii="Times New Roman" w:hAnsi="Times New Roman"/>
          <w:b/>
          <w:sz w:val="24"/>
        </w:rPr>
      </w:pPr>
      <w:r w:rsidRPr="00D85693">
        <w:rPr>
          <w:rFonts w:ascii="Times New Roman" w:hAnsi="Times New Roman"/>
          <w:b/>
          <w:sz w:val="24"/>
        </w:rPr>
        <w:t>Hoofdstuk 3 Toezicht en handhaving:</w:t>
      </w:r>
    </w:p>
    <w:p w14:paraId="077FB0B6" w14:textId="77777777" w:rsidR="00FC30BF" w:rsidRPr="00D85693" w:rsidRDefault="00FC30BF" w:rsidP="001534FD">
      <w:pPr>
        <w:rPr>
          <w:rFonts w:ascii="Times New Roman" w:hAnsi="Times New Roman"/>
          <w:b/>
          <w:sz w:val="24"/>
        </w:rPr>
      </w:pPr>
    </w:p>
    <w:p w14:paraId="61264361" w14:textId="77777777" w:rsidR="001534FD" w:rsidRPr="00D85693" w:rsidRDefault="001534FD" w:rsidP="001534FD">
      <w:pPr>
        <w:rPr>
          <w:rFonts w:ascii="Times New Roman" w:hAnsi="Times New Roman"/>
          <w:sz w:val="24"/>
        </w:rPr>
      </w:pPr>
      <w:r w:rsidRPr="00D85693">
        <w:rPr>
          <w:rFonts w:ascii="Times New Roman" w:hAnsi="Times New Roman"/>
          <w:i/>
          <w:iCs/>
          <w:sz w:val="24"/>
        </w:rPr>
        <w:lastRenderedPageBreak/>
        <w:t>Toezicht</w:t>
      </w:r>
      <w:r w:rsidRPr="00D85693">
        <w:rPr>
          <w:rFonts w:ascii="Times New Roman" w:hAnsi="Times New Roman"/>
          <w:sz w:val="24"/>
        </w:rPr>
        <w:t xml:space="preserve"> Artikel 19 van de conceptrichtlijn kent het recht van indienen van gemotiveerde bezwaren toe aan elke natuurlijke of rechtspersoon. Dit is in het wetsvoorstel verwerkt in artikel 3.1.1, vierde lid, onder b, en een nieuw artikel 3.1.3. </w:t>
      </w:r>
    </w:p>
    <w:p w14:paraId="13F3BAAE" w14:textId="5578D6BD" w:rsidR="001534FD" w:rsidRPr="00D85693" w:rsidRDefault="001534FD" w:rsidP="001534FD">
      <w:pPr>
        <w:rPr>
          <w:rFonts w:ascii="Times New Roman" w:hAnsi="Times New Roman"/>
          <w:sz w:val="24"/>
        </w:rPr>
      </w:pPr>
      <w:r w:rsidRPr="00D85693">
        <w:rPr>
          <w:rFonts w:ascii="Times New Roman" w:hAnsi="Times New Roman"/>
          <w:sz w:val="24"/>
        </w:rPr>
        <w:t xml:space="preserve">De conceptrichtlijn gaat het mogelijk maken dat er in een lidstaat verschillende toezichthouders toezien op de naleving van de verplichtingen voor gepaste zorgvuldigheid en schrijft voor dat de Europese Commissie een netwerk van toezichthoudende autoriteiten instelt (zie artikel 17, vierde lid, en artikel 21 van de conceptrichtlijn). Dit netwerk moet samenwerking, coördinatie en afstemming tussen de verschillende toezichthouders bevorderen. Met een nieuw opgenomen artikel 3.1.2 wordt op deze samenwerking alvast vooruitgelopen. </w:t>
      </w:r>
    </w:p>
    <w:p w14:paraId="17D2FE95" w14:textId="77777777" w:rsidR="00FC30BF" w:rsidRPr="00D85693" w:rsidRDefault="00FC30BF" w:rsidP="001534FD">
      <w:pPr>
        <w:rPr>
          <w:rFonts w:ascii="Times New Roman" w:hAnsi="Times New Roman"/>
          <w:sz w:val="24"/>
        </w:rPr>
      </w:pPr>
    </w:p>
    <w:p w14:paraId="084D61E8" w14:textId="77777777" w:rsidR="001534FD" w:rsidRPr="00D85693" w:rsidRDefault="001534FD" w:rsidP="001534FD">
      <w:pPr>
        <w:rPr>
          <w:rFonts w:ascii="Times New Roman" w:hAnsi="Times New Roman"/>
          <w:sz w:val="24"/>
        </w:rPr>
      </w:pPr>
      <w:r w:rsidRPr="00D85693">
        <w:rPr>
          <w:rFonts w:ascii="Times New Roman" w:hAnsi="Times New Roman"/>
          <w:i/>
          <w:sz w:val="24"/>
        </w:rPr>
        <w:t>Handhaving</w:t>
      </w:r>
      <w:r w:rsidRPr="00D85693">
        <w:rPr>
          <w:rFonts w:ascii="Times New Roman" w:hAnsi="Times New Roman"/>
          <w:sz w:val="24"/>
        </w:rPr>
        <w:t xml:space="preserve"> De conceptrichtlijn beoogt de toezichthouder ook het instrument van een last onder bestuursdwang te geven. Dit is in het voorstel opgenomen in een nieuw artikel 3.2.1. De openbaarmaking daarvan wordt verder geregeld in artikel 3.2.4. </w:t>
      </w:r>
    </w:p>
    <w:p w14:paraId="1BB1B9B4" w14:textId="77777777" w:rsidR="001534FD" w:rsidRPr="00D85693" w:rsidRDefault="001534FD" w:rsidP="001534FD">
      <w:pPr>
        <w:rPr>
          <w:rFonts w:ascii="Times New Roman" w:hAnsi="Times New Roman"/>
          <w:sz w:val="24"/>
        </w:rPr>
      </w:pPr>
      <w:r w:rsidRPr="00D85693">
        <w:rPr>
          <w:rFonts w:ascii="Times New Roman" w:hAnsi="Times New Roman"/>
          <w:sz w:val="24"/>
        </w:rPr>
        <w:t>Voor zowel de last onder bestuursdwang als de last onder dwangsom is voortaan bepaald dat deze besluiten ook gelden voor de rechtsopvolgers van de onderneming.</w:t>
      </w:r>
    </w:p>
    <w:p w14:paraId="0C2DFF9E" w14:textId="03AF9612" w:rsidR="001534FD" w:rsidRPr="00D85693" w:rsidRDefault="001534FD" w:rsidP="001534FD">
      <w:pPr>
        <w:rPr>
          <w:rFonts w:ascii="Times New Roman" w:hAnsi="Times New Roman"/>
          <w:sz w:val="24"/>
        </w:rPr>
      </w:pPr>
      <w:r w:rsidRPr="00D85693">
        <w:rPr>
          <w:rFonts w:ascii="Times New Roman" w:hAnsi="Times New Roman"/>
          <w:sz w:val="24"/>
        </w:rPr>
        <w:t>In artikel 3.2.3, derde lid, is in lijn met artikel 20, derde lid, van de conceptrichtlijn bepaald dat de boete voor een overtreding maximaal 10% van de netto-omzet kan bedragen.</w:t>
      </w:r>
    </w:p>
    <w:p w14:paraId="021CD901" w14:textId="77777777" w:rsidR="00FC30BF" w:rsidRPr="00D85693" w:rsidRDefault="00FC30BF" w:rsidP="001534FD">
      <w:pPr>
        <w:rPr>
          <w:rFonts w:ascii="Times New Roman" w:hAnsi="Times New Roman"/>
          <w:sz w:val="24"/>
        </w:rPr>
      </w:pPr>
    </w:p>
    <w:p w14:paraId="5BB3FFFA" w14:textId="35483B5B" w:rsidR="001534FD" w:rsidRPr="00D85693" w:rsidRDefault="001534FD" w:rsidP="001534FD">
      <w:pPr>
        <w:rPr>
          <w:rFonts w:ascii="Times New Roman" w:hAnsi="Times New Roman"/>
          <w:sz w:val="24"/>
        </w:rPr>
      </w:pPr>
      <w:r w:rsidRPr="00D85693">
        <w:rPr>
          <w:rFonts w:ascii="Times New Roman" w:hAnsi="Times New Roman"/>
          <w:i/>
          <w:sz w:val="24"/>
        </w:rPr>
        <w:t xml:space="preserve">Civielrechtelijke </w:t>
      </w:r>
      <w:r w:rsidR="0042263B" w:rsidRPr="00D85693">
        <w:rPr>
          <w:rFonts w:ascii="Times New Roman" w:hAnsi="Times New Roman"/>
          <w:i/>
          <w:sz w:val="24"/>
        </w:rPr>
        <w:t xml:space="preserve">rechtsvordering </w:t>
      </w:r>
      <w:r w:rsidR="0042263B" w:rsidRPr="00D85693">
        <w:rPr>
          <w:rFonts w:ascii="Times New Roman" w:hAnsi="Times New Roman"/>
          <w:sz w:val="24"/>
        </w:rPr>
        <w:t xml:space="preserve"> </w:t>
      </w:r>
      <w:r w:rsidR="00322BB2" w:rsidRPr="00D85693">
        <w:rPr>
          <w:rFonts w:ascii="Times New Roman" w:hAnsi="Times New Roman"/>
          <w:sz w:val="24"/>
        </w:rPr>
        <w:t>De civielrechtelijke rechtsvordering wordt behandeld</w:t>
      </w:r>
      <w:r w:rsidRPr="00D85693">
        <w:rPr>
          <w:rFonts w:ascii="Times New Roman" w:hAnsi="Times New Roman"/>
          <w:sz w:val="24"/>
        </w:rPr>
        <w:t xml:space="preserve"> in een nieuw artikel 3.2.6 opgenomen in het wetsvoorstel. </w:t>
      </w:r>
      <w:r w:rsidR="0049440C" w:rsidRPr="00D85693">
        <w:rPr>
          <w:rFonts w:ascii="Times New Roman" w:hAnsi="Times New Roman"/>
          <w:sz w:val="24"/>
        </w:rPr>
        <w:t xml:space="preserve">Een stichting of vereniging </w:t>
      </w:r>
      <w:r w:rsidR="00996C2C" w:rsidRPr="00D85693">
        <w:rPr>
          <w:rFonts w:ascii="Times New Roman" w:hAnsi="Times New Roman"/>
          <w:sz w:val="24"/>
        </w:rPr>
        <w:t xml:space="preserve">kan </w:t>
      </w:r>
      <w:r w:rsidR="0049440C" w:rsidRPr="00D85693">
        <w:rPr>
          <w:rFonts w:ascii="Times New Roman" w:hAnsi="Times New Roman"/>
          <w:sz w:val="24"/>
        </w:rPr>
        <w:t xml:space="preserve">ook </w:t>
      </w:r>
      <w:r w:rsidR="00996C2C" w:rsidRPr="00D85693">
        <w:rPr>
          <w:rFonts w:ascii="Times New Roman" w:hAnsi="Times New Roman"/>
          <w:sz w:val="24"/>
        </w:rPr>
        <w:t xml:space="preserve">in rechte </w:t>
      </w:r>
      <w:r w:rsidR="0049440C" w:rsidRPr="00D85693">
        <w:rPr>
          <w:rFonts w:ascii="Times New Roman" w:hAnsi="Times New Roman"/>
          <w:sz w:val="24"/>
        </w:rPr>
        <w:t>op</w:t>
      </w:r>
      <w:r w:rsidR="00996C2C" w:rsidRPr="00D85693">
        <w:rPr>
          <w:rFonts w:ascii="Times New Roman" w:hAnsi="Times New Roman"/>
          <w:sz w:val="24"/>
        </w:rPr>
        <w:t>komen</w:t>
      </w:r>
      <w:r w:rsidR="0049440C" w:rsidRPr="00D85693">
        <w:rPr>
          <w:rFonts w:ascii="Times New Roman" w:hAnsi="Times New Roman"/>
          <w:sz w:val="24"/>
        </w:rPr>
        <w:t xml:space="preserve"> voor be</w:t>
      </w:r>
      <w:r w:rsidR="00996C2C" w:rsidRPr="00D85693">
        <w:rPr>
          <w:rFonts w:ascii="Times New Roman" w:hAnsi="Times New Roman"/>
          <w:sz w:val="24"/>
        </w:rPr>
        <w:t>trokkenen</w:t>
      </w:r>
      <w:r w:rsidR="0049440C" w:rsidRPr="00D85693">
        <w:rPr>
          <w:rFonts w:ascii="Times New Roman" w:hAnsi="Times New Roman"/>
          <w:sz w:val="24"/>
        </w:rPr>
        <w:t xml:space="preserve">. </w:t>
      </w:r>
      <w:r w:rsidR="00996C2C" w:rsidRPr="00D85693">
        <w:rPr>
          <w:rFonts w:ascii="Times New Roman" w:hAnsi="Times New Roman"/>
          <w:sz w:val="24"/>
        </w:rPr>
        <w:t>Het eerste lid</w:t>
      </w:r>
      <w:r w:rsidR="0049440C" w:rsidRPr="00D85693">
        <w:rPr>
          <w:rFonts w:ascii="Times New Roman" w:hAnsi="Times New Roman"/>
          <w:sz w:val="24"/>
        </w:rPr>
        <w:t xml:space="preserve"> regelt </w:t>
      </w:r>
      <w:r w:rsidR="00996C2C" w:rsidRPr="00D85693">
        <w:rPr>
          <w:rFonts w:ascii="Times New Roman" w:hAnsi="Times New Roman"/>
          <w:sz w:val="24"/>
        </w:rPr>
        <w:t xml:space="preserve">ook </w:t>
      </w:r>
      <w:r w:rsidR="0049440C" w:rsidRPr="00D85693">
        <w:rPr>
          <w:rFonts w:ascii="Times New Roman" w:hAnsi="Times New Roman"/>
          <w:sz w:val="24"/>
        </w:rPr>
        <w:t xml:space="preserve">dat een vordering tegen een onderneming op grond van deze wet wordt geacht een voldoende nauwe band met de Nederlandse rechtssfeer te hebben. </w:t>
      </w:r>
      <w:r w:rsidR="006259CC" w:rsidRPr="00D85693">
        <w:rPr>
          <w:rFonts w:ascii="Times New Roman" w:hAnsi="Times New Roman"/>
          <w:sz w:val="24"/>
        </w:rPr>
        <w:t xml:space="preserve">In het </w:t>
      </w:r>
      <w:r w:rsidR="0049440C" w:rsidRPr="00D85693">
        <w:rPr>
          <w:rFonts w:ascii="Times New Roman" w:hAnsi="Times New Roman"/>
          <w:sz w:val="24"/>
        </w:rPr>
        <w:t xml:space="preserve">derde </w:t>
      </w:r>
      <w:r w:rsidRPr="00D85693">
        <w:rPr>
          <w:rFonts w:ascii="Times New Roman" w:hAnsi="Times New Roman"/>
          <w:sz w:val="24"/>
        </w:rPr>
        <w:t xml:space="preserve">lid hiervan </w:t>
      </w:r>
      <w:r w:rsidR="0049440C" w:rsidRPr="00D85693">
        <w:rPr>
          <w:rFonts w:ascii="Times New Roman" w:hAnsi="Times New Roman"/>
          <w:sz w:val="24"/>
        </w:rPr>
        <w:t xml:space="preserve">staat </w:t>
      </w:r>
      <w:r w:rsidRPr="00D85693">
        <w:rPr>
          <w:rFonts w:ascii="Times New Roman" w:hAnsi="Times New Roman"/>
          <w:sz w:val="24"/>
        </w:rPr>
        <w:t>dat dit</w:t>
      </w:r>
      <w:r w:rsidR="006259CC" w:rsidRPr="00D85693">
        <w:rPr>
          <w:rFonts w:ascii="Times New Roman" w:hAnsi="Times New Roman"/>
          <w:sz w:val="24"/>
        </w:rPr>
        <w:t xml:space="preserve"> tweede lid </w:t>
      </w:r>
      <w:r w:rsidR="0049440C" w:rsidRPr="00D85693">
        <w:rPr>
          <w:rFonts w:ascii="Times New Roman" w:hAnsi="Times New Roman"/>
          <w:sz w:val="24"/>
        </w:rPr>
        <w:t xml:space="preserve">een bepaling is van bijzonder dwingend recht als bedoeld in artikel 16 van </w:t>
      </w:r>
      <w:r w:rsidR="006259CC" w:rsidRPr="00D85693">
        <w:rPr>
          <w:rFonts w:ascii="Times New Roman" w:hAnsi="Times New Roman"/>
          <w:sz w:val="24"/>
        </w:rPr>
        <w:t xml:space="preserve">de </w:t>
      </w:r>
      <w:r w:rsidR="0049440C" w:rsidRPr="00D85693">
        <w:rPr>
          <w:rFonts w:ascii="Times New Roman" w:hAnsi="Times New Roman"/>
          <w:sz w:val="24"/>
        </w:rPr>
        <w:t>Rome II</w:t>
      </w:r>
      <w:r w:rsidR="006259CC" w:rsidRPr="00D85693">
        <w:rPr>
          <w:rFonts w:ascii="Times New Roman" w:hAnsi="Times New Roman"/>
          <w:sz w:val="24"/>
        </w:rPr>
        <w:t>-verordening</w:t>
      </w:r>
      <w:r w:rsidR="0049440C" w:rsidRPr="00D85693">
        <w:rPr>
          <w:rFonts w:ascii="Times New Roman" w:hAnsi="Times New Roman"/>
          <w:sz w:val="24"/>
        </w:rPr>
        <w:t xml:space="preserve">. </w:t>
      </w:r>
    </w:p>
    <w:p w14:paraId="58EB53E8" w14:textId="77777777" w:rsidR="00FC30BF" w:rsidRPr="00D85693" w:rsidRDefault="00FC30BF" w:rsidP="001534FD">
      <w:pPr>
        <w:rPr>
          <w:rFonts w:ascii="Times New Roman" w:hAnsi="Times New Roman"/>
          <w:sz w:val="24"/>
        </w:rPr>
      </w:pPr>
    </w:p>
    <w:p w14:paraId="669A7A07" w14:textId="77777777" w:rsidR="00FC30BF" w:rsidRPr="00D85693" w:rsidRDefault="00FC30BF" w:rsidP="001534FD">
      <w:pPr>
        <w:rPr>
          <w:rFonts w:ascii="Times New Roman" w:hAnsi="Times New Roman"/>
          <w:b/>
          <w:sz w:val="24"/>
        </w:rPr>
      </w:pPr>
      <w:r w:rsidRPr="00D85693">
        <w:rPr>
          <w:rFonts w:ascii="Times New Roman" w:hAnsi="Times New Roman"/>
          <w:b/>
          <w:sz w:val="24"/>
        </w:rPr>
        <w:t xml:space="preserve">Hoofdstuk 4 </w:t>
      </w:r>
      <w:r w:rsidR="001534FD" w:rsidRPr="00D85693">
        <w:rPr>
          <w:rFonts w:ascii="Times New Roman" w:hAnsi="Times New Roman"/>
          <w:b/>
          <w:sz w:val="24"/>
        </w:rPr>
        <w:t>Slotbepalingen</w:t>
      </w:r>
      <w:r w:rsidRPr="00D85693">
        <w:rPr>
          <w:rFonts w:ascii="Times New Roman" w:hAnsi="Times New Roman"/>
          <w:b/>
          <w:sz w:val="24"/>
        </w:rPr>
        <w:t>:</w:t>
      </w:r>
    </w:p>
    <w:p w14:paraId="237000C6" w14:textId="102B4248" w:rsidR="001534FD" w:rsidRPr="00D85693" w:rsidRDefault="001534FD" w:rsidP="001534FD">
      <w:pPr>
        <w:rPr>
          <w:rFonts w:ascii="Times New Roman" w:hAnsi="Times New Roman"/>
          <w:sz w:val="24"/>
        </w:rPr>
      </w:pPr>
      <w:r w:rsidRPr="00D85693">
        <w:rPr>
          <w:rFonts w:ascii="Times New Roman" w:hAnsi="Times New Roman"/>
          <w:sz w:val="24"/>
        </w:rPr>
        <w:t xml:space="preserve"> </w:t>
      </w:r>
    </w:p>
    <w:p w14:paraId="41148B56" w14:textId="7989BE41" w:rsidR="0042263B" w:rsidRPr="00D85693" w:rsidRDefault="0042263B" w:rsidP="001534FD">
      <w:pPr>
        <w:rPr>
          <w:rFonts w:ascii="Times New Roman" w:hAnsi="Times New Roman"/>
          <w:i/>
          <w:sz w:val="24"/>
        </w:rPr>
      </w:pPr>
      <w:r w:rsidRPr="00D85693">
        <w:rPr>
          <w:rFonts w:ascii="Times New Roman" w:hAnsi="Times New Roman"/>
          <w:i/>
          <w:sz w:val="24"/>
        </w:rPr>
        <w:t>Evaluatie</w:t>
      </w:r>
      <w:r w:rsidRPr="00D85693">
        <w:rPr>
          <w:rFonts w:ascii="Times New Roman" w:hAnsi="Times New Roman"/>
          <w:sz w:val="24"/>
        </w:rPr>
        <w:t xml:space="preserve"> Artikel 4.1 bepaalt dat deze wet binnen vijf jaar en vervolgens elke vijf </w:t>
      </w:r>
      <w:r w:rsidR="00DE4269" w:rsidRPr="00D85693">
        <w:rPr>
          <w:rFonts w:ascii="Times New Roman" w:hAnsi="Times New Roman"/>
          <w:sz w:val="24"/>
        </w:rPr>
        <w:t>jaar geëvalueerd wordt.</w:t>
      </w:r>
    </w:p>
    <w:p w14:paraId="6473FD5A" w14:textId="77777777" w:rsidR="0042263B" w:rsidRPr="00D85693" w:rsidRDefault="0042263B" w:rsidP="001534FD">
      <w:pPr>
        <w:rPr>
          <w:rFonts w:ascii="Times New Roman" w:hAnsi="Times New Roman"/>
          <w:i/>
          <w:sz w:val="24"/>
        </w:rPr>
      </w:pPr>
    </w:p>
    <w:p w14:paraId="2BA017DB" w14:textId="10EBC330" w:rsidR="00DE4269" w:rsidRPr="00D85693" w:rsidRDefault="001534FD" w:rsidP="001534FD">
      <w:pPr>
        <w:rPr>
          <w:rFonts w:ascii="Times New Roman" w:hAnsi="Times New Roman"/>
          <w:sz w:val="24"/>
        </w:rPr>
      </w:pPr>
      <w:r w:rsidRPr="00D85693">
        <w:rPr>
          <w:rFonts w:ascii="Times New Roman" w:hAnsi="Times New Roman"/>
          <w:i/>
          <w:sz w:val="24"/>
        </w:rPr>
        <w:t>Inwerkingtreding</w:t>
      </w:r>
      <w:r w:rsidRPr="00D85693">
        <w:rPr>
          <w:rFonts w:ascii="Times New Roman" w:hAnsi="Times New Roman"/>
          <w:sz w:val="24"/>
        </w:rPr>
        <w:t xml:space="preserve"> In artikel 4.5, derde </w:t>
      </w:r>
      <w:r w:rsidR="00996C2C" w:rsidRPr="00D85693">
        <w:rPr>
          <w:rFonts w:ascii="Times New Roman" w:hAnsi="Times New Roman"/>
          <w:sz w:val="24"/>
        </w:rPr>
        <w:t xml:space="preserve">en vierde </w:t>
      </w:r>
      <w:r w:rsidRPr="00D85693">
        <w:rPr>
          <w:rFonts w:ascii="Times New Roman" w:hAnsi="Times New Roman"/>
          <w:sz w:val="24"/>
        </w:rPr>
        <w:t xml:space="preserve">lid, is bepaald dat de regels uit hoofdstuk 2 voor het </w:t>
      </w:r>
      <w:r w:rsidR="00DE4269" w:rsidRPr="00D85693">
        <w:rPr>
          <w:rFonts w:ascii="Times New Roman" w:hAnsi="Times New Roman"/>
          <w:sz w:val="24"/>
        </w:rPr>
        <w:t>middelgrote ondernemingen</w:t>
      </w:r>
      <w:r w:rsidRPr="00D85693">
        <w:rPr>
          <w:rFonts w:ascii="Times New Roman" w:hAnsi="Times New Roman"/>
          <w:sz w:val="24"/>
        </w:rPr>
        <w:t xml:space="preserve"> vijf jaar later in werking treden dan voor grote bedrijven</w:t>
      </w:r>
      <w:r w:rsidR="00DE4269" w:rsidRPr="00D85693">
        <w:rPr>
          <w:rFonts w:ascii="Times New Roman" w:hAnsi="Times New Roman"/>
          <w:sz w:val="24"/>
        </w:rPr>
        <w:t xml:space="preserve"> als uit de evaluatie volgt dat dit mogelijk is met het oog op lastendruk voor ondernemingen en de toezichthouder.</w:t>
      </w:r>
    </w:p>
    <w:p w14:paraId="1ADA7570" w14:textId="3FABB432" w:rsidR="001534FD" w:rsidRPr="00D85693" w:rsidRDefault="00DE4269" w:rsidP="001534FD">
      <w:pPr>
        <w:rPr>
          <w:rFonts w:ascii="Times New Roman" w:hAnsi="Times New Roman"/>
          <w:sz w:val="24"/>
        </w:rPr>
      </w:pPr>
      <w:r w:rsidRPr="00D85693">
        <w:rPr>
          <w:rFonts w:ascii="Times New Roman" w:hAnsi="Times New Roman"/>
          <w:sz w:val="24"/>
        </w:rPr>
        <w:t xml:space="preserve"> </w:t>
      </w:r>
    </w:p>
    <w:p w14:paraId="339565E7" w14:textId="585A51C8" w:rsidR="001534FD" w:rsidRPr="00D85693" w:rsidRDefault="001534FD" w:rsidP="001534FD">
      <w:pPr>
        <w:rPr>
          <w:rFonts w:ascii="Times New Roman" w:hAnsi="Times New Roman"/>
          <w:sz w:val="24"/>
        </w:rPr>
      </w:pPr>
      <w:r w:rsidRPr="00D85693">
        <w:rPr>
          <w:rFonts w:ascii="Times New Roman" w:hAnsi="Times New Roman"/>
          <w:sz w:val="24"/>
        </w:rPr>
        <w:t xml:space="preserve">Tot slot zijn ook de inwerkingtredingsdata aangepast en </w:t>
      </w:r>
      <w:r w:rsidR="00996C2C" w:rsidRPr="00D85693">
        <w:rPr>
          <w:rFonts w:ascii="Times New Roman" w:hAnsi="Times New Roman"/>
          <w:sz w:val="24"/>
        </w:rPr>
        <w:t xml:space="preserve">- door het tijdsverloop bij het zorgvuldig verwerken van het advies van de Afdeling advisering - </w:t>
      </w:r>
      <w:r w:rsidRPr="00D85693">
        <w:rPr>
          <w:rFonts w:ascii="Times New Roman" w:hAnsi="Times New Roman"/>
          <w:sz w:val="24"/>
        </w:rPr>
        <w:t>opgeschoven in de tijd.</w:t>
      </w:r>
    </w:p>
    <w:p w14:paraId="152E02B8" w14:textId="77777777" w:rsidR="00FC30BF" w:rsidRPr="00D85693" w:rsidRDefault="00FC30BF" w:rsidP="001534FD">
      <w:pPr>
        <w:rPr>
          <w:rFonts w:ascii="Times New Roman" w:hAnsi="Times New Roman"/>
          <w:sz w:val="24"/>
        </w:rPr>
      </w:pPr>
    </w:p>
    <w:p w14:paraId="0DC495B8" w14:textId="77777777" w:rsidR="006B09D6" w:rsidRPr="00D85693" w:rsidRDefault="006B09D6" w:rsidP="006B09D6">
      <w:pPr>
        <w:rPr>
          <w:rFonts w:ascii="Times New Roman" w:hAnsi="Times New Roman"/>
          <w:b/>
          <w:sz w:val="24"/>
        </w:rPr>
      </w:pPr>
      <w:r w:rsidRPr="00D85693">
        <w:rPr>
          <w:rFonts w:ascii="Times New Roman" w:hAnsi="Times New Roman"/>
          <w:b/>
          <w:sz w:val="24"/>
        </w:rPr>
        <w:t xml:space="preserve">Reactie: </w:t>
      </w:r>
    </w:p>
    <w:p w14:paraId="49B06778" w14:textId="77777777" w:rsidR="006B09D6" w:rsidRPr="00D85693" w:rsidRDefault="006B09D6" w:rsidP="006B09D6">
      <w:pPr>
        <w:rPr>
          <w:rFonts w:ascii="Times New Roman" w:hAnsi="Times New Roman"/>
          <w:b/>
          <w:sz w:val="24"/>
        </w:rPr>
      </w:pPr>
    </w:p>
    <w:p w14:paraId="0F7E4635" w14:textId="392CBF00" w:rsidR="006B09D6" w:rsidRPr="00D85693" w:rsidRDefault="006B09D6" w:rsidP="006B09D6">
      <w:pPr>
        <w:rPr>
          <w:rFonts w:ascii="Times New Roman" w:hAnsi="Times New Roman"/>
          <w:sz w:val="24"/>
        </w:rPr>
      </w:pPr>
      <w:r w:rsidRPr="00D85693">
        <w:rPr>
          <w:rFonts w:ascii="Times New Roman" w:hAnsi="Times New Roman"/>
          <w:bCs/>
          <w:sz w:val="24"/>
        </w:rPr>
        <w:t xml:space="preserve">In reactie op het advies van de Afdeling </w:t>
      </w:r>
      <w:r w:rsidR="00996C2C" w:rsidRPr="00D85693">
        <w:rPr>
          <w:rFonts w:ascii="Times New Roman" w:hAnsi="Times New Roman"/>
          <w:sz w:val="24"/>
        </w:rPr>
        <w:t>advisering</w:t>
      </w:r>
      <w:r w:rsidR="00996C2C" w:rsidRPr="00D85693">
        <w:rPr>
          <w:rFonts w:ascii="Times New Roman" w:hAnsi="Times New Roman"/>
          <w:bCs/>
          <w:sz w:val="24"/>
        </w:rPr>
        <w:t xml:space="preserve"> </w:t>
      </w:r>
      <w:r w:rsidRPr="00D85693">
        <w:rPr>
          <w:rFonts w:ascii="Times New Roman" w:hAnsi="Times New Roman"/>
          <w:bCs/>
          <w:sz w:val="24"/>
        </w:rPr>
        <w:t xml:space="preserve">hebben de initiatiefnemers </w:t>
      </w:r>
      <w:r w:rsidRPr="00D85693">
        <w:rPr>
          <w:rFonts w:ascii="Times New Roman" w:hAnsi="Times New Roman"/>
          <w:sz w:val="24"/>
        </w:rPr>
        <w:t xml:space="preserve">het wetsvoorstel op een groot aantal onderdelen aangepast. Zij zijn ervan overtuigd dat nagenoeg alle door de Afdeling geformuleerde bezwaren daarmee zijn weggenomen en verzoeken het aangepaste voorstel alsnog in behandeling te nemen. </w:t>
      </w:r>
    </w:p>
    <w:p w14:paraId="0C9AF04E" w14:textId="77777777" w:rsidR="002A2F5F" w:rsidRPr="00D85693" w:rsidRDefault="002A2F5F" w:rsidP="002A2F5F">
      <w:pPr>
        <w:pStyle w:val="Lijstalinea"/>
        <w:rPr>
          <w:rFonts w:ascii="Times New Roman" w:hAnsi="Times New Roman"/>
          <w:sz w:val="24"/>
        </w:rPr>
      </w:pPr>
    </w:p>
    <w:p w14:paraId="2F01916A" w14:textId="24DA4E3F" w:rsidR="00D920F6" w:rsidRDefault="00260286" w:rsidP="00B96C50">
      <w:pPr>
        <w:pStyle w:val="Amendement"/>
        <w:jc w:val="both"/>
        <w:rPr>
          <w:rFonts w:ascii="Times New Roman" w:hAnsi="Times New Roman"/>
          <w:b w:val="0"/>
          <w:caps/>
        </w:rPr>
      </w:pPr>
      <w:r w:rsidRPr="00761225">
        <w:rPr>
          <w:rFonts w:ascii="Times New Roman" w:hAnsi="Times New Roman" w:cs="Times New Roman"/>
          <w:b w:val="0"/>
        </w:rPr>
        <w:t>De initiatiefnemer</w:t>
      </w:r>
      <w:r w:rsidR="0058639B" w:rsidRPr="00761225">
        <w:rPr>
          <w:rFonts w:ascii="Times New Roman" w:hAnsi="Times New Roman" w:cs="Times New Roman"/>
          <w:b w:val="0"/>
        </w:rPr>
        <w:t>s</w:t>
      </w:r>
      <w:r w:rsidRPr="00761225">
        <w:rPr>
          <w:rFonts w:ascii="Times New Roman" w:hAnsi="Times New Roman"/>
          <w:b w:val="0"/>
          <w:caps/>
        </w:rPr>
        <w:t>,</w:t>
      </w:r>
    </w:p>
    <w:p w14:paraId="65F87D95" w14:textId="77777777" w:rsidR="0031538A" w:rsidRPr="00761225" w:rsidRDefault="0031538A" w:rsidP="00B96C50">
      <w:pPr>
        <w:pStyle w:val="Amendement"/>
        <w:jc w:val="both"/>
        <w:rPr>
          <w:rFonts w:ascii="Times New Roman" w:hAnsi="Times New Roman" w:cs="Times New Roman"/>
          <w:b w:val="0"/>
        </w:rPr>
      </w:pPr>
    </w:p>
    <w:p w14:paraId="7794EEAF" w14:textId="1CABDAB7" w:rsidR="0058639B" w:rsidRPr="00761225" w:rsidRDefault="006B09D6" w:rsidP="00B96C50">
      <w:pPr>
        <w:tabs>
          <w:tab w:val="left" w:pos="284"/>
          <w:tab w:val="left" w:pos="567"/>
          <w:tab w:val="left" w:pos="851"/>
        </w:tabs>
        <w:ind w:right="1848"/>
        <w:jc w:val="both"/>
        <w:rPr>
          <w:rFonts w:ascii="Times New Roman" w:hAnsi="Times New Roman"/>
          <w:sz w:val="24"/>
        </w:rPr>
      </w:pPr>
      <w:r>
        <w:rPr>
          <w:rFonts w:ascii="Times New Roman" w:hAnsi="Times New Roman"/>
          <w:sz w:val="24"/>
        </w:rPr>
        <w:lastRenderedPageBreak/>
        <w:t>Van der Graaf</w:t>
      </w:r>
    </w:p>
    <w:p w14:paraId="2795982D" w14:textId="07F25927" w:rsidR="0058639B" w:rsidRPr="00761225" w:rsidRDefault="006B09D6" w:rsidP="00B96C50">
      <w:pPr>
        <w:tabs>
          <w:tab w:val="left" w:pos="284"/>
          <w:tab w:val="left" w:pos="567"/>
          <w:tab w:val="left" w:pos="851"/>
        </w:tabs>
        <w:ind w:right="1848"/>
        <w:jc w:val="both"/>
        <w:rPr>
          <w:rFonts w:ascii="Times New Roman" w:hAnsi="Times New Roman"/>
          <w:sz w:val="24"/>
        </w:rPr>
      </w:pPr>
      <w:r>
        <w:rPr>
          <w:rFonts w:ascii="Times New Roman" w:hAnsi="Times New Roman"/>
          <w:sz w:val="24"/>
        </w:rPr>
        <w:t>V</w:t>
      </w:r>
      <w:r w:rsidR="0058639B" w:rsidRPr="00761225">
        <w:rPr>
          <w:rFonts w:ascii="Times New Roman" w:hAnsi="Times New Roman"/>
          <w:sz w:val="24"/>
        </w:rPr>
        <w:t>an Dijk</w:t>
      </w:r>
    </w:p>
    <w:p w14:paraId="09A0D441" w14:textId="7D8CC71B" w:rsidR="006B09D6" w:rsidRDefault="006B09D6" w:rsidP="00B96C50">
      <w:pPr>
        <w:tabs>
          <w:tab w:val="left" w:pos="284"/>
          <w:tab w:val="left" w:pos="567"/>
          <w:tab w:val="left" w:pos="851"/>
        </w:tabs>
        <w:ind w:right="1848"/>
        <w:jc w:val="both"/>
        <w:rPr>
          <w:rFonts w:ascii="Times New Roman" w:hAnsi="Times New Roman"/>
          <w:sz w:val="24"/>
        </w:rPr>
      </w:pPr>
      <w:r>
        <w:rPr>
          <w:rFonts w:ascii="Times New Roman" w:hAnsi="Times New Roman"/>
          <w:sz w:val="24"/>
        </w:rPr>
        <w:t>Thijssen</w:t>
      </w:r>
    </w:p>
    <w:p w14:paraId="30FBBFB4" w14:textId="521B0459" w:rsidR="0058639B" w:rsidRDefault="0058639B" w:rsidP="00B96C50">
      <w:pPr>
        <w:tabs>
          <w:tab w:val="left" w:pos="284"/>
          <w:tab w:val="left" w:pos="567"/>
          <w:tab w:val="left" w:pos="851"/>
        </w:tabs>
        <w:ind w:right="1848"/>
        <w:jc w:val="both"/>
        <w:rPr>
          <w:rFonts w:ascii="Times New Roman" w:hAnsi="Times New Roman"/>
          <w:sz w:val="24"/>
        </w:rPr>
      </w:pPr>
      <w:r w:rsidRPr="00761225">
        <w:rPr>
          <w:rFonts w:ascii="Times New Roman" w:hAnsi="Times New Roman"/>
          <w:sz w:val="24"/>
        </w:rPr>
        <w:t>Van der Lee</w:t>
      </w:r>
    </w:p>
    <w:p w14:paraId="44F62F90" w14:textId="5E209FDF" w:rsidR="0058639B" w:rsidRDefault="003B4A58" w:rsidP="00B96C50">
      <w:pPr>
        <w:tabs>
          <w:tab w:val="left" w:pos="284"/>
          <w:tab w:val="left" w:pos="567"/>
          <w:tab w:val="left" w:pos="851"/>
        </w:tabs>
        <w:ind w:right="1848"/>
        <w:jc w:val="both"/>
        <w:rPr>
          <w:rFonts w:ascii="Times New Roman" w:hAnsi="Times New Roman"/>
          <w:bCs/>
          <w:sz w:val="24"/>
        </w:rPr>
      </w:pPr>
      <w:r w:rsidRPr="00D85693">
        <w:rPr>
          <w:rFonts w:ascii="Times New Roman" w:hAnsi="Times New Roman"/>
          <w:bCs/>
          <w:sz w:val="24"/>
        </w:rPr>
        <w:t>Koekkoek</w:t>
      </w:r>
    </w:p>
    <w:p w14:paraId="24A21185" w14:textId="2650DB7A" w:rsidR="00292E12" w:rsidRDefault="00292E12" w:rsidP="00B96C50">
      <w:pPr>
        <w:tabs>
          <w:tab w:val="left" w:pos="284"/>
          <w:tab w:val="left" w:pos="567"/>
          <w:tab w:val="left" w:pos="851"/>
        </w:tabs>
        <w:ind w:right="1848"/>
        <w:jc w:val="both"/>
        <w:rPr>
          <w:rFonts w:ascii="Times New Roman" w:hAnsi="Times New Roman"/>
          <w:bCs/>
          <w:sz w:val="24"/>
        </w:rPr>
      </w:pPr>
      <w:r>
        <w:rPr>
          <w:rFonts w:ascii="Times New Roman" w:hAnsi="Times New Roman"/>
          <w:bCs/>
          <w:sz w:val="24"/>
        </w:rPr>
        <w:t>Hammelburg</w:t>
      </w:r>
      <w:bookmarkStart w:id="6" w:name="_GoBack"/>
      <w:bookmarkEnd w:id="6"/>
    </w:p>
    <w:p w14:paraId="7C94D77F" w14:textId="77777777" w:rsidR="00CC1CD7" w:rsidRPr="00761225" w:rsidRDefault="00CC1CD7" w:rsidP="00B96C50">
      <w:pPr>
        <w:tabs>
          <w:tab w:val="left" w:pos="284"/>
          <w:tab w:val="left" w:pos="567"/>
          <w:tab w:val="left" w:pos="851"/>
        </w:tabs>
        <w:ind w:right="1848"/>
        <w:jc w:val="both"/>
        <w:rPr>
          <w:rFonts w:ascii="Times New Roman" w:hAnsi="Times New Roman"/>
          <w:sz w:val="24"/>
        </w:rPr>
      </w:pPr>
    </w:p>
    <w:p w14:paraId="338B729E" w14:textId="539A6366" w:rsidR="00723EA0" w:rsidRDefault="0058639B" w:rsidP="0058639B">
      <w:pPr>
        <w:tabs>
          <w:tab w:val="left" w:pos="284"/>
          <w:tab w:val="left" w:pos="567"/>
          <w:tab w:val="left" w:pos="851"/>
        </w:tabs>
        <w:ind w:right="1848"/>
        <w:jc w:val="both"/>
        <w:rPr>
          <w:rFonts w:ascii="Times New Roman" w:hAnsi="Times New Roman"/>
          <w:sz w:val="24"/>
        </w:rPr>
      </w:pPr>
      <w:r w:rsidRPr="00761225">
        <w:rPr>
          <w:rFonts w:ascii="Times New Roman" w:hAnsi="Times New Roman"/>
          <w:sz w:val="24"/>
        </w:rPr>
        <w:t>W02.21.0072</w:t>
      </w:r>
    </w:p>
    <w:p w14:paraId="64E41C24" w14:textId="1E1873FC" w:rsidR="00917962" w:rsidRPr="00917962" w:rsidRDefault="00917962" w:rsidP="00917962">
      <w:pPr>
        <w:rPr>
          <w:rFonts w:ascii="Times New Roman" w:hAnsi="Times New Roman"/>
          <w:sz w:val="24"/>
        </w:rPr>
      </w:pPr>
    </w:p>
    <w:p w14:paraId="62B7127E" w14:textId="732CD81B" w:rsidR="00917962" w:rsidRPr="00917962" w:rsidRDefault="00917962" w:rsidP="00917962">
      <w:pPr>
        <w:tabs>
          <w:tab w:val="left" w:pos="1656"/>
        </w:tabs>
        <w:rPr>
          <w:rFonts w:ascii="Times New Roman" w:hAnsi="Times New Roman"/>
          <w:sz w:val="24"/>
        </w:rPr>
      </w:pPr>
    </w:p>
    <w:sectPr w:rsidR="00917962" w:rsidRPr="00917962" w:rsidSect="00A11E73">
      <w:footerReference w:type="even" r:id="rId8"/>
      <w:footerReference w:type="default" r:id="rId9"/>
      <w:pgSz w:w="11906" w:h="16838"/>
      <w:pgMar w:top="1418" w:right="1418" w:bottom="1418" w:left="1418" w:header="357" w:footer="1440" w:gutter="0"/>
      <w:pgNumType w:start="1"/>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BD8FC8" w14:textId="77777777" w:rsidR="00457C5B" w:rsidRDefault="00457C5B">
      <w:pPr>
        <w:spacing w:line="20" w:lineRule="exact"/>
      </w:pPr>
    </w:p>
  </w:endnote>
  <w:endnote w:type="continuationSeparator" w:id="0">
    <w:p w14:paraId="5D81FEFB" w14:textId="77777777" w:rsidR="00457C5B" w:rsidRDefault="00457C5B">
      <w:pPr>
        <w:pStyle w:val="Amendement"/>
      </w:pPr>
      <w:r>
        <w:rPr>
          <w:b w:val="0"/>
          <w:bCs w:val="0"/>
        </w:rPr>
        <w:t xml:space="preserve"> </w:t>
      </w:r>
    </w:p>
  </w:endnote>
  <w:endnote w:type="continuationNotice" w:id="1">
    <w:p w14:paraId="63F32F30" w14:textId="77777777" w:rsidR="00457C5B" w:rsidRDefault="00457C5B">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DB5E4" w14:textId="77777777" w:rsidR="003A74B3" w:rsidRDefault="003A74B3"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E278E4C" w14:textId="77777777" w:rsidR="003A74B3" w:rsidRDefault="003A74B3"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F51EF" w14:textId="06BCE479" w:rsidR="003A74B3" w:rsidRPr="002168F4" w:rsidRDefault="003A74B3"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292E12">
      <w:rPr>
        <w:rStyle w:val="Paginanummer"/>
        <w:rFonts w:ascii="Times New Roman" w:hAnsi="Times New Roman"/>
        <w:noProof/>
      </w:rPr>
      <w:t>23</w:t>
    </w:r>
    <w:r w:rsidRPr="002168F4">
      <w:rPr>
        <w:rStyle w:val="Paginanummer"/>
        <w:rFonts w:ascii="Times New Roman" w:hAnsi="Times New Roman"/>
      </w:rPr>
      <w:fldChar w:fldCharType="end"/>
    </w:r>
  </w:p>
  <w:p w14:paraId="3A072A19" w14:textId="77777777" w:rsidR="003A74B3" w:rsidRPr="002168F4" w:rsidRDefault="003A74B3"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0415C1" w14:textId="77777777" w:rsidR="00457C5B" w:rsidRDefault="00457C5B">
      <w:pPr>
        <w:pStyle w:val="Amendement"/>
      </w:pPr>
      <w:r>
        <w:rPr>
          <w:b w:val="0"/>
          <w:bCs w:val="0"/>
        </w:rPr>
        <w:separator/>
      </w:r>
    </w:p>
  </w:footnote>
  <w:footnote w:type="continuationSeparator" w:id="0">
    <w:p w14:paraId="754542DD" w14:textId="77777777" w:rsidR="00457C5B" w:rsidRDefault="00457C5B">
      <w:r>
        <w:continuationSeparator/>
      </w:r>
    </w:p>
  </w:footnote>
  <w:footnote w:id="1">
    <w:p w14:paraId="2B001DCA" w14:textId="7EAB478D" w:rsidR="003A74B3" w:rsidRPr="00F55CF6" w:rsidRDefault="003A74B3">
      <w:pPr>
        <w:pStyle w:val="Voetnoottekst"/>
        <w:rPr>
          <w:sz w:val="16"/>
          <w:szCs w:val="16"/>
        </w:rPr>
      </w:pPr>
      <w:r w:rsidRPr="00F55CF6">
        <w:rPr>
          <w:rStyle w:val="Voetnootmarkering"/>
          <w:sz w:val="16"/>
          <w:szCs w:val="16"/>
        </w:rPr>
        <w:footnoteRef/>
      </w:r>
      <w:r w:rsidRPr="00F55CF6">
        <w:rPr>
          <w:sz w:val="16"/>
          <w:szCs w:val="16"/>
        </w:rPr>
        <w:t xml:space="preserve"> </w:t>
      </w:r>
      <w:r>
        <w:rPr>
          <w:sz w:val="16"/>
          <w:szCs w:val="16"/>
        </w:rPr>
        <w:t>U</w:t>
      </w:r>
      <w:r w:rsidRPr="00F55CF6">
        <w:rPr>
          <w:rFonts w:ascii="Times New Roman" w:hAnsi="Times New Roman"/>
          <w:sz w:val="16"/>
          <w:szCs w:val="16"/>
        </w:rPr>
        <w:t xml:space="preserve">itspraken van </w:t>
      </w:r>
      <w:r>
        <w:rPr>
          <w:rFonts w:ascii="Times New Roman" w:hAnsi="Times New Roman"/>
          <w:sz w:val="16"/>
          <w:szCs w:val="16"/>
        </w:rPr>
        <w:t xml:space="preserve">Afdeling bestuursrechtspraak van de Raad van State van </w:t>
      </w:r>
      <w:r w:rsidRPr="00F55CF6">
        <w:rPr>
          <w:rFonts w:ascii="Times New Roman" w:hAnsi="Times New Roman"/>
          <w:sz w:val="16"/>
          <w:szCs w:val="16"/>
        </w:rPr>
        <w:t xml:space="preserve">28 oktober 2020 </w:t>
      </w:r>
      <w:r>
        <w:rPr>
          <w:rFonts w:ascii="Times New Roman" w:hAnsi="Times New Roman"/>
          <w:sz w:val="16"/>
          <w:szCs w:val="16"/>
        </w:rPr>
        <w:t xml:space="preserve">(ECLI:NL:RVS:2021:2571), r.o. 7.1.4, </w:t>
      </w:r>
      <w:r w:rsidRPr="00F55CF6">
        <w:rPr>
          <w:rFonts w:ascii="Times New Roman" w:hAnsi="Times New Roman"/>
          <w:sz w:val="16"/>
          <w:szCs w:val="16"/>
        </w:rPr>
        <w:t>en 4 augustus 2021</w:t>
      </w:r>
      <w:r>
        <w:rPr>
          <w:rFonts w:ascii="Times New Roman" w:hAnsi="Times New Roman"/>
          <w:sz w:val="16"/>
          <w:szCs w:val="16"/>
        </w:rPr>
        <w:t>, (ECLI:NL:RVS:2021:1736), r.o. 13.1.</w:t>
      </w:r>
    </w:p>
  </w:footnote>
  <w:footnote w:id="2">
    <w:p w14:paraId="62E5364F" w14:textId="3FD557B8" w:rsidR="003A74B3" w:rsidRPr="00F55CF6" w:rsidRDefault="003A74B3">
      <w:pPr>
        <w:pStyle w:val="Voetnoottekst"/>
        <w:rPr>
          <w:rFonts w:ascii="Times New Roman" w:hAnsi="Times New Roman"/>
          <w:sz w:val="16"/>
          <w:szCs w:val="16"/>
          <w:lang w:val="en-US"/>
        </w:rPr>
      </w:pPr>
      <w:r w:rsidRPr="00F55CF6">
        <w:rPr>
          <w:rStyle w:val="Voetnootmarkering"/>
          <w:rFonts w:ascii="Times New Roman" w:hAnsi="Times New Roman"/>
          <w:sz w:val="16"/>
          <w:szCs w:val="16"/>
        </w:rPr>
        <w:footnoteRef/>
      </w:r>
      <w:r w:rsidRPr="00F55CF6">
        <w:rPr>
          <w:rFonts w:ascii="Times New Roman" w:hAnsi="Times New Roman"/>
          <w:sz w:val="16"/>
          <w:szCs w:val="16"/>
          <w:lang w:val="en-US"/>
        </w:rPr>
        <w:t xml:space="preserve"> Sira Consulting (2021),</w:t>
      </w:r>
      <w:r w:rsidRPr="00F55CF6">
        <w:rPr>
          <w:rFonts w:ascii="Times New Roman" w:hAnsi="Times New Roman"/>
          <w:i/>
          <w:iCs/>
          <w:sz w:val="16"/>
          <w:szCs w:val="16"/>
          <w:lang w:val="en-US"/>
        </w:rPr>
        <w:t xml:space="preserve"> Responsible Business Conduct and Better Regulation</w:t>
      </w:r>
      <w:r w:rsidRPr="00F55CF6">
        <w:rPr>
          <w:rFonts w:ascii="Times New Roman" w:hAnsi="Times New Roman"/>
          <w:sz w:val="16"/>
          <w:szCs w:val="16"/>
          <w:lang w:val="en-US"/>
        </w:rPr>
        <w:t>, Bilthoven/Den Haag, p. 44.</w:t>
      </w:r>
    </w:p>
  </w:footnote>
  <w:footnote w:id="3">
    <w:p w14:paraId="661F431D" w14:textId="44DC524F" w:rsidR="003A74B3" w:rsidRPr="00F55959" w:rsidRDefault="003A74B3">
      <w:pPr>
        <w:pStyle w:val="Voetnoottekst"/>
        <w:rPr>
          <w:rFonts w:ascii="Times New Roman" w:hAnsi="Times New Roman"/>
          <w:sz w:val="16"/>
          <w:szCs w:val="16"/>
          <w:lang w:val="en-US"/>
        </w:rPr>
      </w:pPr>
      <w:r w:rsidRPr="00F55CF6">
        <w:rPr>
          <w:rStyle w:val="Voetnootmarkering"/>
          <w:rFonts w:ascii="Times New Roman" w:hAnsi="Times New Roman"/>
          <w:sz w:val="16"/>
          <w:szCs w:val="16"/>
        </w:rPr>
        <w:footnoteRef/>
      </w:r>
      <w:r w:rsidRPr="00F55CF6">
        <w:rPr>
          <w:rFonts w:ascii="Times New Roman" w:hAnsi="Times New Roman"/>
          <w:sz w:val="16"/>
          <w:szCs w:val="16"/>
          <w:lang w:val="en-US"/>
        </w:rPr>
        <w:t xml:space="preserve"> British Institute for International and Comparative Law (2020), </w:t>
      </w:r>
      <w:r w:rsidRPr="00F55CF6">
        <w:rPr>
          <w:rFonts w:ascii="Times New Roman" w:hAnsi="Times New Roman"/>
          <w:i/>
          <w:iCs/>
          <w:sz w:val="16"/>
          <w:szCs w:val="16"/>
          <w:lang w:val="en-US"/>
        </w:rPr>
        <w:t xml:space="preserve">Study on due diligence requirements through the supply chain. </w:t>
      </w:r>
      <w:r w:rsidRPr="00F55959">
        <w:rPr>
          <w:rFonts w:ascii="Times New Roman" w:hAnsi="Times New Roman"/>
          <w:i/>
          <w:iCs/>
          <w:sz w:val="16"/>
          <w:szCs w:val="16"/>
          <w:lang w:val="en-US"/>
        </w:rPr>
        <w:t>Part I: Synthesis Report</w:t>
      </w:r>
      <w:r w:rsidRPr="00F55959">
        <w:rPr>
          <w:rFonts w:ascii="Times New Roman" w:hAnsi="Times New Roman"/>
          <w:sz w:val="16"/>
          <w:szCs w:val="16"/>
          <w:lang w:val="en-US"/>
        </w:rPr>
        <w:t>, Luxemburg, p. 18.</w:t>
      </w:r>
    </w:p>
  </w:footnote>
  <w:footnote w:id="4">
    <w:p w14:paraId="705C2FF6" w14:textId="568D2147" w:rsidR="00584D22" w:rsidRPr="00F55959" w:rsidRDefault="00584D22">
      <w:pPr>
        <w:pStyle w:val="Voetnoottekst"/>
        <w:rPr>
          <w:rFonts w:ascii="Times New Roman" w:hAnsi="Times New Roman"/>
          <w:sz w:val="16"/>
          <w:szCs w:val="16"/>
          <w:lang w:val="en-US"/>
        </w:rPr>
      </w:pPr>
      <w:r w:rsidRPr="00F55959">
        <w:rPr>
          <w:rStyle w:val="Voetnootmarkering"/>
          <w:rFonts w:ascii="Times New Roman" w:hAnsi="Times New Roman"/>
          <w:sz w:val="16"/>
          <w:szCs w:val="16"/>
        </w:rPr>
        <w:footnoteRef/>
      </w:r>
      <w:r w:rsidRPr="00F55959">
        <w:rPr>
          <w:rFonts w:ascii="Times New Roman" w:hAnsi="Times New Roman"/>
          <w:sz w:val="16"/>
          <w:szCs w:val="16"/>
          <w:lang w:val="en-US"/>
        </w:rPr>
        <w:t xml:space="preserve"> KPMG (2022), Sustainability Reporting: De CSRD – van papieren tijger naar transitie-instrument, p. 5</w:t>
      </w:r>
    </w:p>
  </w:footnote>
  <w:footnote w:id="5">
    <w:p w14:paraId="6260DC6E" w14:textId="77777777" w:rsidR="003A74B3" w:rsidRPr="00F55959" w:rsidRDefault="003A74B3" w:rsidP="00D03E3B">
      <w:pPr>
        <w:pStyle w:val="Voetnoottekst"/>
        <w:rPr>
          <w:rFonts w:ascii="Times New Roman" w:hAnsi="Times New Roman"/>
          <w:sz w:val="16"/>
          <w:szCs w:val="16"/>
        </w:rPr>
      </w:pPr>
      <w:r w:rsidRPr="00F55CF6">
        <w:rPr>
          <w:rStyle w:val="Voetnootmarkering"/>
          <w:rFonts w:ascii="Times New Roman" w:hAnsi="Times New Roman"/>
          <w:sz w:val="16"/>
          <w:szCs w:val="16"/>
        </w:rPr>
        <w:footnoteRef/>
      </w:r>
      <w:r w:rsidRPr="00F55959">
        <w:rPr>
          <w:rFonts w:ascii="Times New Roman" w:hAnsi="Times New Roman"/>
          <w:sz w:val="16"/>
          <w:szCs w:val="16"/>
        </w:rPr>
        <w:t xml:space="preserve"> Zie bijvoorbeeld het </w:t>
      </w:r>
      <w:hyperlink r:id="rId1" w:history="1">
        <w:r w:rsidRPr="00F55959">
          <w:rPr>
            <w:rStyle w:val="Hyperlink"/>
            <w:rFonts w:ascii="Times New Roman" w:hAnsi="Times New Roman"/>
            <w:sz w:val="16"/>
            <w:szCs w:val="16"/>
          </w:rPr>
          <w:t>Final Statement</w:t>
        </w:r>
      </w:hyperlink>
      <w:r w:rsidRPr="00F55959">
        <w:rPr>
          <w:rFonts w:ascii="Times New Roman" w:hAnsi="Times New Roman"/>
          <w:sz w:val="16"/>
          <w:szCs w:val="16"/>
        </w:rPr>
        <w:t xml:space="preserve"> in de zaak UNI Global Union vs. VEON (11 februari 2020).</w:t>
      </w:r>
    </w:p>
  </w:footnote>
  <w:footnote w:id="6">
    <w:p w14:paraId="602AC03F" w14:textId="4FC98A27" w:rsidR="003A74B3" w:rsidRPr="00B7493D" w:rsidRDefault="003A74B3">
      <w:pPr>
        <w:pStyle w:val="Voetnoottekst"/>
        <w:rPr>
          <w:lang w:val="en-US"/>
        </w:rPr>
      </w:pPr>
      <w:r w:rsidRPr="00F55CF6">
        <w:rPr>
          <w:rStyle w:val="Voetnootmarkering"/>
          <w:rFonts w:ascii="Times New Roman" w:hAnsi="Times New Roman"/>
          <w:sz w:val="16"/>
          <w:szCs w:val="16"/>
        </w:rPr>
        <w:footnoteRef/>
      </w:r>
      <w:r w:rsidRPr="00F55CF6">
        <w:rPr>
          <w:rFonts w:ascii="Times New Roman" w:hAnsi="Times New Roman"/>
          <w:sz w:val="16"/>
          <w:szCs w:val="16"/>
          <w:lang w:val="en-US"/>
        </w:rPr>
        <w:t xml:space="preserve"> NCP, 2019, NCP Report by CE Delft/Arcadis regarding the Dutch Oil and Gas sector.</w:t>
      </w:r>
    </w:p>
  </w:footnote>
  <w:footnote w:id="7">
    <w:p w14:paraId="7EA345D3" w14:textId="4D39B34A" w:rsidR="003A74B3" w:rsidRPr="00F55CF6" w:rsidRDefault="003A74B3">
      <w:pPr>
        <w:pStyle w:val="Voetnoottekst"/>
        <w:rPr>
          <w:rFonts w:ascii="Times New Roman" w:hAnsi="Times New Roman"/>
          <w:sz w:val="16"/>
          <w:szCs w:val="16"/>
        </w:rPr>
      </w:pPr>
      <w:r w:rsidRPr="00F55CF6">
        <w:rPr>
          <w:rStyle w:val="Voetnootmarkering"/>
          <w:rFonts w:ascii="Times New Roman" w:hAnsi="Times New Roman"/>
          <w:sz w:val="16"/>
          <w:szCs w:val="16"/>
        </w:rPr>
        <w:footnoteRef/>
      </w:r>
      <w:r w:rsidRPr="00F55CF6">
        <w:rPr>
          <w:rFonts w:ascii="Times New Roman" w:hAnsi="Times New Roman"/>
          <w:sz w:val="16"/>
          <w:szCs w:val="16"/>
        </w:rPr>
        <w:t xml:space="preserve"> Uitspraak </w:t>
      </w:r>
      <w:r w:rsidRPr="00A74A49">
        <w:rPr>
          <w:rFonts w:ascii="Times New Roman" w:hAnsi="Times New Roman"/>
          <w:sz w:val="16"/>
          <w:szCs w:val="16"/>
        </w:rPr>
        <w:t xml:space="preserve">van Afdeling bestuursrechtspraak van 28 oktober 2020 (ECLI:NL:RVS:2021:2571), r.o. </w:t>
      </w:r>
      <w:r>
        <w:rPr>
          <w:rFonts w:ascii="Times New Roman" w:hAnsi="Times New Roman"/>
          <w:sz w:val="16"/>
          <w:szCs w:val="16"/>
        </w:rPr>
        <w:t>7.1.5.</w:t>
      </w:r>
    </w:p>
  </w:footnote>
  <w:footnote w:id="8">
    <w:p w14:paraId="37D99B7B" w14:textId="71C11504" w:rsidR="003A74B3" w:rsidRPr="00F55CF6" w:rsidRDefault="003A74B3">
      <w:pPr>
        <w:pStyle w:val="Voetnoottekst"/>
        <w:rPr>
          <w:rFonts w:ascii="Times New Roman" w:hAnsi="Times New Roman"/>
          <w:sz w:val="16"/>
          <w:szCs w:val="16"/>
        </w:rPr>
      </w:pPr>
      <w:r w:rsidRPr="00F55CF6">
        <w:rPr>
          <w:rStyle w:val="Voetnootmarkering"/>
          <w:rFonts w:ascii="Times New Roman" w:hAnsi="Times New Roman"/>
          <w:sz w:val="16"/>
          <w:szCs w:val="16"/>
        </w:rPr>
        <w:footnoteRef/>
      </w:r>
      <w:r w:rsidRPr="00F55CF6">
        <w:rPr>
          <w:rFonts w:ascii="Times New Roman" w:hAnsi="Times New Roman"/>
          <w:sz w:val="16"/>
          <w:szCs w:val="16"/>
        </w:rPr>
        <w:t xml:space="preserve"> Conclusie van 11 maart 2020</w:t>
      </w:r>
      <w:r>
        <w:rPr>
          <w:rFonts w:ascii="Times New Roman" w:hAnsi="Times New Roman"/>
          <w:sz w:val="16"/>
          <w:szCs w:val="16"/>
        </w:rPr>
        <w:t xml:space="preserve"> (ECLI:NL:RVS:2020:738). “ </w:t>
      </w:r>
      <w:r w:rsidRPr="00F55CF6">
        <w:rPr>
          <w:rFonts w:ascii="Times New Roman" w:hAnsi="Times New Roman"/>
          <w:sz w:val="16"/>
          <w:szCs w:val="16"/>
        </w:rPr>
        <w:t>Deze ‘omkering’ van de bewijslast legt het voorzorginitiatief en het probleem van gebrekkige voorzorg bij de potentiële overtreder. Die moet de door de verordening van hem verlangde voorzorg bewijzen (wat niet moeilijk kan als hij het vereiste stelsel voert), anders komt het hout de EU niet binnen. Dat lijkt mij zeer handhavingsefficiënt, vergelijkbaar met de zekerheid die een douane-expediteur moet stellen voor de invoerrechten en eventuele andere heffingen voordat goederen in de EU ingeklaard kunnen worden</w:t>
      </w:r>
      <w:r>
        <w:rPr>
          <w:rFonts w:ascii="Times New Roman" w:hAnsi="Times New Roman"/>
          <w:sz w:val="16"/>
          <w:szCs w:val="16"/>
        </w:rPr>
        <w:t>”, r.o. 9.33.</w:t>
      </w:r>
    </w:p>
  </w:footnote>
  <w:footnote w:id="9">
    <w:p w14:paraId="46965E1D" w14:textId="77777777" w:rsidR="003A74B3" w:rsidRPr="00F55CF6" w:rsidRDefault="003A74B3" w:rsidP="00BA45E8">
      <w:pPr>
        <w:pStyle w:val="Voetnoottekst"/>
        <w:rPr>
          <w:rFonts w:ascii="Times New Roman" w:hAnsi="Times New Roman"/>
          <w:sz w:val="16"/>
          <w:szCs w:val="16"/>
        </w:rPr>
      </w:pPr>
      <w:r>
        <w:rPr>
          <w:rStyle w:val="Voetnootmarkering"/>
        </w:rPr>
        <w:footnoteRef/>
      </w:r>
      <w:r>
        <w:t xml:space="preserve"> </w:t>
      </w:r>
      <w:r w:rsidRPr="00F55CF6">
        <w:rPr>
          <w:rFonts w:ascii="Times New Roman" w:hAnsi="Times New Roman"/>
          <w:sz w:val="16"/>
          <w:szCs w:val="16"/>
        </w:rPr>
        <w:t>"Bedrijfsleven &amp; mensenrechten - Een onderzoek naar de stand van de implementatie van de United Nations Guiding Principles on Business en Human Rights in Nederland", Utrecht, 2020, blz. 12, 13 en 38-48.</w:t>
      </w:r>
    </w:p>
  </w:footnote>
  <w:footnote w:id="10">
    <w:p w14:paraId="30E2767E" w14:textId="40BA414D" w:rsidR="003A74B3" w:rsidRPr="00F55CF6" w:rsidRDefault="003A74B3">
      <w:pPr>
        <w:pStyle w:val="Voetnoottekst"/>
        <w:rPr>
          <w:lang w:val="en-US"/>
        </w:rPr>
      </w:pPr>
      <w:r>
        <w:rPr>
          <w:rStyle w:val="Voetnootmarkering"/>
        </w:rPr>
        <w:footnoteRef/>
      </w:r>
      <w:r w:rsidRPr="00F55CF6">
        <w:rPr>
          <w:lang w:val="en-US"/>
        </w:rPr>
        <w:t xml:space="preserve"> </w:t>
      </w:r>
      <w:r w:rsidRPr="00F55CF6">
        <w:rPr>
          <w:rFonts w:ascii="Times New Roman" w:hAnsi="Times New Roman"/>
          <w:lang w:val="en-US"/>
        </w:rPr>
        <w:t xml:space="preserve">KIT Royal Tropical Institute (2020), </w:t>
      </w:r>
      <w:r w:rsidRPr="00F55CF6">
        <w:rPr>
          <w:rFonts w:ascii="Times New Roman" w:hAnsi="Times New Roman"/>
          <w:i/>
          <w:lang w:val="en-US"/>
        </w:rPr>
        <w:t>Evaluation of the Dutch RBC Agreements 2014-2020</w:t>
      </w:r>
      <w:r w:rsidRPr="00F55CF6">
        <w:rPr>
          <w:rFonts w:ascii="Times New Roman" w:hAnsi="Times New Roman"/>
          <w:lang w:val="en-US"/>
        </w:rPr>
        <w:t>, Amsterdam, p. 12.</w:t>
      </w:r>
    </w:p>
  </w:footnote>
  <w:footnote w:id="11">
    <w:p w14:paraId="62AA8BB0" w14:textId="77777777" w:rsidR="003A74B3" w:rsidRPr="00F55CF6" w:rsidRDefault="003A74B3" w:rsidP="00C832E6">
      <w:pPr>
        <w:pStyle w:val="Voetnoottekst"/>
        <w:rPr>
          <w:rFonts w:ascii="Times New Roman" w:hAnsi="Times New Roman"/>
          <w:lang w:val="en-US"/>
        </w:rPr>
      </w:pPr>
      <w:r w:rsidRPr="00C832E6">
        <w:rPr>
          <w:rStyle w:val="Voetnootmarkering"/>
          <w:rFonts w:ascii="Times New Roman" w:hAnsi="Times New Roman"/>
        </w:rPr>
        <w:footnoteRef/>
      </w:r>
      <w:r w:rsidRPr="00F55CF6">
        <w:rPr>
          <w:rFonts w:ascii="Times New Roman" w:hAnsi="Times New Roman"/>
          <w:lang w:val="en-US"/>
        </w:rPr>
        <w:t xml:space="preserve"> </w:t>
      </w:r>
      <w:hyperlink r:id="rId2" w:history="1">
        <w:r w:rsidRPr="00F55CF6">
          <w:rPr>
            <w:rStyle w:val="Hyperlink"/>
            <w:rFonts w:ascii="Times New Roman" w:hAnsi="Times New Roman"/>
            <w:lang w:val="en-US"/>
          </w:rPr>
          <w:t>https://www.acm.nl/nl/organisatie/missie-visie-strategie/onze-missie</w:t>
        </w:r>
      </w:hyperlink>
      <w:r w:rsidRPr="00F55CF6">
        <w:rPr>
          <w:rFonts w:ascii="Times New Roman" w:hAnsi="Times New Roman"/>
          <w:lang w:val="en-US"/>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71876"/>
    <w:multiLevelType w:val="hybridMultilevel"/>
    <w:tmpl w:val="7FF65F06"/>
    <w:lvl w:ilvl="0" w:tplc="4FC23E5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76C037C"/>
    <w:multiLevelType w:val="hybridMultilevel"/>
    <w:tmpl w:val="C6647034"/>
    <w:lvl w:ilvl="0" w:tplc="193A4BF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203326F"/>
    <w:multiLevelType w:val="hybridMultilevel"/>
    <w:tmpl w:val="A28A0352"/>
    <w:lvl w:ilvl="0" w:tplc="E424F9B8">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A00154F"/>
    <w:multiLevelType w:val="hybridMultilevel"/>
    <w:tmpl w:val="41721BFC"/>
    <w:lvl w:ilvl="0" w:tplc="04130001">
      <w:start w:val="3"/>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D7F0907"/>
    <w:multiLevelType w:val="multilevel"/>
    <w:tmpl w:val="2746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3B278B6"/>
    <w:multiLevelType w:val="hybridMultilevel"/>
    <w:tmpl w:val="C5B67956"/>
    <w:lvl w:ilvl="0" w:tplc="BC6296A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F1B0FE8"/>
    <w:multiLevelType w:val="hybridMultilevel"/>
    <w:tmpl w:val="F722609E"/>
    <w:lvl w:ilvl="0" w:tplc="0966FB3C">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DDB607A-FBEE-4CBE-B4D2-6E8271C7FD66}"/>
    <w:docVar w:name="dgnword-eventsink" w:val="2126966839216"/>
  </w:docVars>
  <w:rsids>
    <w:rsidRoot w:val="002A727C"/>
    <w:rsid w:val="00001CC4"/>
    <w:rsid w:val="00003BEC"/>
    <w:rsid w:val="00011878"/>
    <w:rsid w:val="00012DBE"/>
    <w:rsid w:val="00014E14"/>
    <w:rsid w:val="00022F72"/>
    <w:rsid w:val="00031215"/>
    <w:rsid w:val="000318F8"/>
    <w:rsid w:val="00032B0E"/>
    <w:rsid w:val="000345F4"/>
    <w:rsid w:val="00052860"/>
    <w:rsid w:val="00053235"/>
    <w:rsid w:val="000553E6"/>
    <w:rsid w:val="00056F4E"/>
    <w:rsid w:val="00060F62"/>
    <w:rsid w:val="00063F31"/>
    <w:rsid w:val="0006584F"/>
    <w:rsid w:val="00066DDA"/>
    <w:rsid w:val="000801DD"/>
    <w:rsid w:val="000809E7"/>
    <w:rsid w:val="00091691"/>
    <w:rsid w:val="00092F8B"/>
    <w:rsid w:val="00095498"/>
    <w:rsid w:val="000A1D81"/>
    <w:rsid w:val="000A2D06"/>
    <w:rsid w:val="000B0682"/>
    <w:rsid w:val="000B3136"/>
    <w:rsid w:val="000C562A"/>
    <w:rsid w:val="000D29B3"/>
    <w:rsid w:val="000D44BE"/>
    <w:rsid w:val="000E20EF"/>
    <w:rsid w:val="000E3C55"/>
    <w:rsid w:val="000E780C"/>
    <w:rsid w:val="00111ED3"/>
    <w:rsid w:val="0011318A"/>
    <w:rsid w:val="001140F2"/>
    <w:rsid w:val="00117F0F"/>
    <w:rsid w:val="001219E6"/>
    <w:rsid w:val="00123205"/>
    <w:rsid w:val="0013541D"/>
    <w:rsid w:val="00136741"/>
    <w:rsid w:val="0013713D"/>
    <w:rsid w:val="00137874"/>
    <w:rsid w:val="00152434"/>
    <w:rsid w:val="001534FD"/>
    <w:rsid w:val="00156094"/>
    <w:rsid w:val="001610E0"/>
    <w:rsid w:val="00167043"/>
    <w:rsid w:val="001752C8"/>
    <w:rsid w:val="0018031E"/>
    <w:rsid w:val="001919C1"/>
    <w:rsid w:val="00191B4A"/>
    <w:rsid w:val="001926AF"/>
    <w:rsid w:val="00193A44"/>
    <w:rsid w:val="00193A74"/>
    <w:rsid w:val="001A3C51"/>
    <w:rsid w:val="001A6552"/>
    <w:rsid w:val="001B553F"/>
    <w:rsid w:val="001B5DE2"/>
    <w:rsid w:val="001C1518"/>
    <w:rsid w:val="001C190E"/>
    <w:rsid w:val="001D05DC"/>
    <w:rsid w:val="001D267C"/>
    <w:rsid w:val="001D3851"/>
    <w:rsid w:val="001D4C31"/>
    <w:rsid w:val="001F0DAA"/>
    <w:rsid w:val="001F22A2"/>
    <w:rsid w:val="002047F4"/>
    <w:rsid w:val="00206332"/>
    <w:rsid w:val="002066B5"/>
    <w:rsid w:val="00206AD9"/>
    <w:rsid w:val="0020794E"/>
    <w:rsid w:val="002168F4"/>
    <w:rsid w:val="00217EEF"/>
    <w:rsid w:val="002366BA"/>
    <w:rsid w:val="002419A6"/>
    <w:rsid w:val="00260286"/>
    <w:rsid w:val="00262474"/>
    <w:rsid w:val="002624B5"/>
    <w:rsid w:val="00264299"/>
    <w:rsid w:val="00264FEA"/>
    <w:rsid w:val="00265558"/>
    <w:rsid w:val="00272E02"/>
    <w:rsid w:val="00273E61"/>
    <w:rsid w:val="002865A8"/>
    <w:rsid w:val="0029190A"/>
    <w:rsid w:val="0029259D"/>
    <w:rsid w:val="00292E12"/>
    <w:rsid w:val="002930CE"/>
    <w:rsid w:val="002932D7"/>
    <w:rsid w:val="002943D2"/>
    <w:rsid w:val="00296EA2"/>
    <w:rsid w:val="002A2F5F"/>
    <w:rsid w:val="002A727C"/>
    <w:rsid w:val="002A729D"/>
    <w:rsid w:val="002B0AB4"/>
    <w:rsid w:val="002C0577"/>
    <w:rsid w:val="002C5E2A"/>
    <w:rsid w:val="002D2347"/>
    <w:rsid w:val="002D4694"/>
    <w:rsid w:val="002E09AB"/>
    <w:rsid w:val="002E0B9F"/>
    <w:rsid w:val="002E53D8"/>
    <w:rsid w:val="002F0286"/>
    <w:rsid w:val="002F3B31"/>
    <w:rsid w:val="00305294"/>
    <w:rsid w:val="003133A2"/>
    <w:rsid w:val="0031538A"/>
    <w:rsid w:val="00322BB2"/>
    <w:rsid w:val="00326474"/>
    <w:rsid w:val="00332043"/>
    <w:rsid w:val="00333EE0"/>
    <w:rsid w:val="003340F3"/>
    <w:rsid w:val="00337AF8"/>
    <w:rsid w:val="00351B41"/>
    <w:rsid w:val="00353BF1"/>
    <w:rsid w:val="00360466"/>
    <w:rsid w:val="003627A8"/>
    <w:rsid w:val="003658C8"/>
    <w:rsid w:val="00366062"/>
    <w:rsid w:val="00373A0D"/>
    <w:rsid w:val="00375F41"/>
    <w:rsid w:val="00377F0C"/>
    <w:rsid w:val="00383E0B"/>
    <w:rsid w:val="00383FCC"/>
    <w:rsid w:val="003843E4"/>
    <w:rsid w:val="0038468D"/>
    <w:rsid w:val="0039010A"/>
    <w:rsid w:val="0039346C"/>
    <w:rsid w:val="003948F5"/>
    <w:rsid w:val="003A3E6C"/>
    <w:rsid w:val="003A74B3"/>
    <w:rsid w:val="003B029F"/>
    <w:rsid w:val="003B2D90"/>
    <w:rsid w:val="003B4050"/>
    <w:rsid w:val="003B4A58"/>
    <w:rsid w:val="003B760B"/>
    <w:rsid w:val="003C2000"/>
    <w:rsid w:val="003C3C74"/>
    <w:rsid w:val="003C3F3B"/>
    <w:rsid w:val="003C4743"/>
    <w:rsid w:val="003D57AA"/>
    <w:rsid w:val="003D660D"/>
    <w:rsid w:val="003E2464"/>
    <w:rsid w:val="003E2C54"/>
    <w:rsid w:val="003E537F"/>
    <w:rsid w:val="003E7AAE"/>
    <w:rsid w:val="004068FE"/>
    <w:rsid w:val="00411057"/>
    <w:rsid w:val="0041641F"/>
    <w:rsid w:val="00416A8A"/>
    <w:rsid w:val="00420C58"/>
    <w:rsid w:val="0042263B"/>
    <w:rsid w:val="00424674"/>
    <w:rsid w:val="00426639"/>
    <w:rsid w:val="004337B2"/>
    <w:rsid w:val="00434CD2"/>
    <w:rsid w:val="004564CD"/>
    <w:rsid w:val="00456C80"/>
    <w:rsid w:val="00457C5B"/>
    <w:rsid w:val="00461CD3"/>
    <w:rsid w:val="00464AD3"/>
    <w:rsid w:val="00467032"/>
    <w:rsid w:val="00467951"/>
    <w:rsid w:val="00470D9B"/>
    <w:rsid w:val="00477F33"/>
    <w:rsid w:val="004910BD"/>
    <w:rsid w:val="004925EE"/>
    <w:rsid w:val="00493BF1"/>
    <w:rsid w:val="0049440C"/>
    <w:rsid w:val="0049499B"/>
    <w:rsid w:val="004A044E"/>
    <w:rsid w:val="004A3400"/>
    <w:rsid w:val="004A5C73"/>
    <w:rsid w:val="004B46B6"/>
    <w:rsid w:val="004B6568"/>
    <w:rsid w:val="004C38E7"/>
    <w:rsid w:val="004C4E71"/>
    <w:rsid w:val="004C5DD7"/>
    <w:rsid w:val="004D79EB"/>
    <w:rsid w:val="004E1157"/>
    <w:rsid w:val="004E3AA5"/>
    <w:rsid w:val="004E6C78"/>
    <w:rsid w:val="004F117B"/>
    <w:rsid w:val="004F533C"/>
    <w:rsid w:val="00500FF8"/>
    <w:rsid w:val="005010C7"/>
    <w:rsid w:val="00501783"/>
    <w:rsid w:val="00507E16"/>
    <w:rsid w:val="00510A49"/>
    <w:rsid w:val="005117CB"/>
    <w:rsid w:val="005130C3"/>
    <w:rsid w:val="00514B5D"/>
    <w:rsid w:val="0051793A"/>
    <w:rsid w:val="00520E13"/>
    <w:rsid w:val="005228B5"/>
    <w:rsid w:val="00523584"/>
    <w:rsid w:val="00524408"/>
    <w:rsid w:val="00526806"/>
    <w:rsid w:val="005352BE"/>
    <w:rsid w:val="00536262"/>
    <w:rsid w:val="00551017"/>
    <w:rsid w:val="00553231"/>
    <w:rsid w:val="00562546"/>
    <w:rsid w:val="00566372"/>
    <w:rsid w:val="005702BE"/>
    <w:rsid w:val="005757A8"/>
    <w:rsid w:val="00584D22"/>
    <w:rsid w:val="0058639B"/>
    <w:rsid w:val="005901F4"/>
    <w:rsid w:val="005A708A"/>
    <w:rsid w:val="005B0590"/>
    <w:rsid w:val="005C015F"/>
    <w:rsid w:val="005C0C71"/>
    <w:rsid w:val="005C37E5"/>
    <w:rsid w:val="005C46E1"/>
    <w:rsid w:val="005C482E"/>
    <w:rsid w:val="005C50CA"/>
    <w:rsid w:val="005C61ED"/>
    <w:rsid w:val="005C7D90"/>
    <w:rsid w:val="005D1006"/>
    <w:rsid w:val="005D2707"/>
    <w:rsid w:val="005D2B50"/>
    <w:rsid w:val="005E1132"/>
    <w:rsid w:val="005E34DE"/>
    <w:rsid w:val="005E5CD2"/>
    <w:rsid w:val="005E7D3B"/>
    <w:rsid w:val="00606255"/>
    <w:rsid w:val="00613357"/>
    <w:rsid w:val="00615819"/>
    <w:rsid w:val="00624565"/>
    <w:rsid w:val="006259CC"/>
    <w:rsid w:val="00634AF4"/>
    <w:rsid w:val="0064090D"/>
    <w:rsid w:val="006477B3"/>
    <w:rsid w:val="006506C7"/>
    <w:rsid w:val="00653642"/>
    <w:rsid w:val="00653976"/>
    <w:rsid w:val="00655D5E"/>
    <w:rsid w:val="00662E62"/>
    <w:rsid w:val="00663031"/>
    <w:rsid w:val="00677385"/>
    <w:rsid w:val="00683C6E"/>
    <w:rsid w:val="006876CF"/>
    <w:rsid w:val="00691C2C"/>
    <w:rsid w:val="006A0389"/>
    <w:rsid w:val="006A291D"/>
    <w:rsid w:val="006A2EDB"/>
    <w:rsid w:val="006A3401"/>
    <w:rsid w:val="006A46C1"/>
    <w:rsid w:val="006A4957"/>
    <w:rsid w:val="006B09D6"/>
    <w:rsid w:val="006B3DC0"/>
    <w:rsid w:val="006B607A"/>
    <w:rsid w:val="006B780D"/>
    <w:rsid w:val="006C34E6"/>
    <w:rsid w:val="006D5CCA"/>
    <w:rsid w:val="006E0DFF"/>
    <w:rsid w:val="006E7ECD"/>
    <w:rsid w:val="007057F3"/>
    <w:rsid w:val="00707272"/>
    <w:rsid w:val="00717910"/>
    <w:rsid w:val="00723EA0"/>
    <w:rsid w:val="007259B2"/>
    <w:rsid w:val="007303A8"/>
    <w:rsid w:val="0074161F"/>
    <w:rsid w:val="00742E50"/>
    <w:rsid w:val="00744B02"/>
    <w:rsid w:val="00745F03"/>
    <w:rsid w:val="00747016"/>
    <w:rsid w:val="00747094"/>
    <w:rsid w:val="007531B7"/>
    <w:rsid w:val="007601E4"/>
    <w:rsid w:val="00761225"/>
    <w:rsid w:val="00761668"/>
    <w:rsid w:val="007629CF"/>
    <w:rsid w:val="0076756E"/>
    <w:rsid w:val="007A1058"/>
    <w:rsid w:val="007A5DF5"/>
    <w:rsid w:val="007B3863"/>
    <w:rsid w:val="007B4FF0"/>
    <w:rsid w:val="007B70FD"/>
    <w:rsid w:val="007C09EB"/>
    <w:rsid w:val="007D0341"/>
    <w:rsid w:val="007D1254"/>
    <w:rsid w:val="007D264E"/>
    <w:rsid w:val="007D451C"/>
    <w:rsid w:val="007E0BF1"/>
    <w:rsid w:val="007E5852"/>
    <w:rsid w:val="007F0DC7"/>
    <w:rsid w:val="007F4FC5"/>
    <w:rsid w:val="00811BEE"/>
    <w:rsid w:val="008205A1"/>
    <w:rsid w:val="00820C12"/>
    <w:rsid w:val="00825166"/>
    <w:rsid w:val="00826224"/>
    <w:rsid w:val="00834520"/>
    <w:rsid w:val="008454F9"/>
    <w:rsid w:val="008467B3"/>
    <w:rsid w:val="00846D81"/>
    <w:rsid w:val="00853C61"/>
    <w:rsid w:val="00856EDD"/>
    <w:rsid w:val="00857386"/>
    <w:rsid w:val="00860170"/>
    <w:rsid w:val="008817CA"/>
    <w:rsid w:val="008835BE"/>
    <w:rsid w:val="00891D29"/>
    <w:rsid w:val="008A2A61"/>
    <w:rsid w:val="008B0E15"/>
    <w:rsid w:val="008B159B"/>
    <w:rsid w:val="008B46EC"/>
    <w:rsid w:val="008B5309"/>
    <w:rsid w:val="008B6DEE"/>
    <w:rsid w:val="008C0A21"/>
    <w:rsid w:val="008D1ED5"/>
    <w:rsid w:val="008D3475"/>
    <w:rsid w:val="008D74EF"/>
    <w:rsid w:val="008E067C"/>
    <w:rsid w:val="008E694C"/>
    <w:rsid w:val="00900639"/>
    <w:rsid w:val="0090731E"/>
    <w:rsid w:val="00910065"/>
    <w:rsid w:val="00917962"/>
    <w:rsid w:val="00930A23"/>
    <w:rsid w:val="00930B35"/>
    <w:rsid w:val="009454DA"/>
    <w:rsid w:val="00957EAB"/>
    <w:rsid w:val="009643BF"/>
    <w:rsid w:val="00972EAB"/>
    <w:rsid w:val="00982DA4"/>
    <w:rsid w:val="00996C2C"/>
    <w:rsid w:val="009A2A08"/>
    <w:rsid w:val="009B32F5"/>
    <w:rsid w:val="009C48D8"/>
    <w:rsid w:val="009C7354"/>
    <w:rsid w:val="009D34D1"/>
    <w:rsid w:val="009E15BC"/>
    <w:rsid w:val="009E4233"/>
    <w:rsid w:val="009E6D7F"/>
    <w:rsid w:val="009E72BC"/>
    <w:rsid w:val="009F0106"/>
    <w:rsid w:val="009F46F6"/>
    <w:rsid w:val="009F4C54"/>
    <w:rsid w:val="009F7760"/>
    <w:rsid w:val="00A000B2"/>
    <w:rsid w:val="00A022CF"/>
    <w:rsid w:val="00A03C5C"/>
    <w:rsid w:val="00A05187"/>
    <w:rsid w:val="00A11E73"/>
    <w:rsid w:val="00A12F5B"/>
    <w:rsid w:val="00A13A47"/>
    <w:rsid w:val="00A140A4"/>
    <w:rsid w:val="00A145EE"/>
    <w:rsid w:val="00A14F5F"/>
    <w:rsid w:val="00A15CDE"/>
    <w:rsid w:val="00A16A5F"/>
    <w:rsid w:val="00A2422B"/>
    <w:rsid w:val="00A43464"/>
    <w:rsid w:val="00A60D5C"/>
    <w:rsid w:val="00A61FDD"/>
    <w:rsid w:val="00A64D4A"/>
    <w:rsid w:val="00A65846"/>
    <w:rsid w:val="00A66615"/>
    <w:rsid w:val="00A71186"/>
    <w:rsid w:val="00A713CB"/>
    <w:rsid w:val="00A716F1"/>
    <w:rsid w:val="00A74A49"/>
    <w:rsid w:val="00A74C67"/>
    <w:rsid w:val="00A804D5"/>
    <w:rsid w:val="00A80E11"/>
    <w:rsid w:val="00A843F0"/>
    <w:rsid w:val="00A94C9E"/>
    <w:rsid w:val="00A96A8B"/>
    <w:rsid w:val="00AA0DF2"/>
    <w:rsid w:val="00AA5875"/>
    <w:rsid w:val="00AA5BA5"/>
    <w:rsid w:val="00AB06E2"/>
    <w:rsid w:val="00AB4E51"/>
    <w:rsid w:val="00AC37D9"/>
    <w:rsid w:val="00AC3C33"/>
    <w:rsid w:val="00AE04BD"/>
    <w:rsid w:val="00AE436A"/>
    <w:rsid w:val="00AE7FEF"/>
    <w:rsid w:val="00B17992"/>
    <w:rsid w:val="00B256BD"/>
    <w:rsid w:val="00B33130"/>
    <w:rsid w:val="00B540E1"/>
    <w:rsid w:val="00B64DD2"/>
    <w:rsid w:val="00B650AE"/>
    <w:rsid w:val="00B73DB4"/>
    <w:rsid w:val="00B7493D"/>
    <w:rsid w:val="00B76389"/>
    <w:rsid w:val="00B96C50"/>
    <w:rsid w:val="00B97CF7"/>
    <w:rsid w:val="00BA15EE"/>
    <w:rsid w:val="00BA45E8"/>
    <w:rsid w:val="00BA6464"/>
    <w:rsid w:val="00BB32FA"/>
    <w:rsid w:val="00BB534D"/>
    <w:rsid w:val="00BD4236"/>
    <w:rsid w:val="00BD44CE"/>
    <w:rsid w:val="00BD4EBC"/>
    <w:rsid w:val="00BD7A5A"/>
    <w:rsid w:val="00BF1137"/>
    <w:rsid w:val="00BF2908"/>
    <w:rsid w:val="00BF7E01"/>
    <w:rsid w:val="00C0198F"/>
    <w:rsid w:val="00C042D0"/>
    <w:rsid w:val="00C06636"/>
    <w:rsid w:val="00C06A5C"/>
    <w:rsid w:val="00C1218B"/>
    <w:rsid w:val="00C135B1"/>
    <w:rsid w:val="00C46069"/>
    <w:rsid w:val="00C47731"/>
    <w:rsid w:val="00C50049"/>
    <w:rsid w:val="00C52552"/>
    <w:rsid w:val="00C6330C"/>
    <w:rsid w:val="00C67CAF"/>
    <w:rsid w:val="00C70931"/>
    <w:rsid w:val="00C832E6"/>
    <w:rsid w:val="00C85FAD"/>
    <w:rsid w:val="00C87C15"/>
    <w:rsid w:val="00C90D4B"/>
    <w:rsid w:val="00C92DF8"/>
    <w:rsid w:val="00C9321D"/>
    <w:rsid w:val="00CB3578"/>
    <w:rsid w:val="00CB44EB"/>
    <w:rsid w:val="00CB7570"/>
    <w:rsid w:val="00CC1CD7"/>
    <w:rsid w:val="00CC483F"/>
    <w:rsid w:val="00CC583A"/>
    <w:rsid w:val="00CC747A"/>
    <w:rsid w:val="00CD5EA7"/>
    <w:rsid w:val="00CD72B3"/>
    <w:rsid w:val="00CF08EC"/>
    <w:rsid w:val="00CF7DC9"/>
    <w:rsid w:val="00D00579"/>
    <w:rsid w:val="00D03E3B"/>
    <w:rsid w:val="00D0577B"/>
    <w:rsid w:val="00D15463"/>
    <w:rsid w:val="00D2770D"/>
    <w:rsid w:val="00D321B6"/>
    <w:rsid w:val="00D36234"/>
    <w:rsid w:val="00D41174"/>
    <w:rsid w:val="00D42655"/>
    <w:rsid w:val="00D42889"/>
    <w:rsid w:val="00D4606B"/>
    <w:rsid w:val="00D572E2"/>
    <w:rsid w:val="00D57321"/>
    <w:rsid w:val="00D578B1"/>
    <w:rsid w:val="00D60C7A"/>
    <w:rsid w:val="00D61E60"/>
    <w:rsid w:val="00D7783F"/>
    <w:rsid w:val="00D841C7"/>
    <w:rsid w:val="00D85693"/>
    <w:rsid w:val="00D920F6"/>
    <w:rsid w:val="00DA36A6"/>
    <w:rsid w:val="00DB090F"/>
    <w:rsid w:val="00DB0F94"/>
    <w:rsid w:val="00DB2395"/>
    <w:rsid w:val="00DB4E76"/>
    <w:rsid w:val="00DC1751"/>
    <w:rsid w:val="00DD13F4"/>
    <w:rsid w:val="00DD610F"/>
    <w:rsid w:val="00DE4269"/>
    <w:rsid w:val="00DF42D5"/>
    <w:rsid w:val="00DF57EE"/>
    <w:rsid w:val="00DF756A"/>
    <w:rsid w:val="00E01099"/>
    <w:rsid w:val="00E160F8"/>
    <w:rsid w:val="00E16443"/>
    <w:rsid w:val="00E25981"/>
    <w:rsid w:val="00E27026"/>
    <w:rsid w:val="00E305A9"/>
    <w:rsid w:val="00E32326"/>
    <w:rsid w:val="00E333C7"/>
    <w:rsid w:val="00E36EE9"/>
    <w:rsid w:val="00E411DE"/>
    <w:rsid w:val="00E41E9F"/>
    <w:rsid w:val="00E5608F"/>
    <w:rsid w:val="00E60763"/>
    <w:rsid w:val="00E67B01"/>
    <w:rsid w:val="00E71CE0"/>
    <w:rsid w:val="00E73463"/>
    <w:rsid w:val="00E8055F"/>
    <w:rsid w:val="00E82398"/>
    <w:rsid w:val="00EA0AD2"/>
    <w:rsid w:val="00EA7BC1"/>
    <w:rsid w:val="00EB5EC8"/>
    <w:rsid w:val="00EC1FB5"/>
    <w:rsid w:val="00EC764A"/>
    <w:rsid w:val="00ED6469"/>
    <w:rsid w:val="00ED7662"/>
    <w:rsid w:val="00EE3A35"/>
    <w:rsid w:val="00EE3FA9"/>
    <w:rsid w:val="00F11E00"/>
    <w:rsid w:val="00F221FB"/>
    <w:rsid w:val="00F248E2"/>
    <w:rsid w:val="00F2594A"/>
    <w:rsid w:val="00F435DE"/>
    <w:rsid w:val="00F47577"/>
    <w:rsid w:val="00F47DC2"/>
    <w:rsid w:val="00F519BC"/>
    <w:rsid w:val="00F52D90"/>
    <w:rsid w:val="00F55959"/>
    <w:rsid w:val="00F55CF6"/>
    <w:rsid w:val="00F66957"/>
    <w:rsid w:val="00F83209"/>
    <w:rsid w:val="00F845D9"/>
    <w:rsid w:val="00F90672"/>
    <w:rsid w:val="00F91F38"/>
    <w:rsid w:val="00F956D4"/>
    <w:rsid w:val="00FA709C"/>
    <w:rsid w:val="00FB7ACC"/>
    <w:rsid w:val="00FC30BF"/>
    <w:rsid w:val="00FC3411"/>
    <w:rsid w:val="00FC619C"/>
    <w:rsid w:val="00FC65DA"/>
    <w:rsid w:val="00FD2BED"/>
    <w:rsid w:val="00FD4BBE"/>
    <w:rsid w:val="00FE09C2"/>
    <w:rsid w:val="00FE430E"/>
    <w:rsid w:val="00FF74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BF4B76"/>
  <w15:docId w15:val="{34C332E7-CD8B-462E-A584-BE2F80EF9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link w:val="EindnoottekstChar"/>
    <w:uiPriority w:val="99"/>
  </w:style>
  <w:style w:type="character" w:styleId="Eindnootmarkering">
    <w:name w:val="endnote reference"/>
    <w:uiPriority w:val="99"/>
    <w:rPr>
      <w:rFonts w:cs="Times New Roman"/>
      <w:sz w:val="20"/>
      <w:szCs w:val="20"/>
      <w:vertAlign w:val="superscript"/>
    </w:rPr>
  </w:style>
  <w:style w:type="paragraph" w:styleId="Voetnoottekst">
    <w:name w:val="footnote text"/>
    <w:basedOn w:val="Standaard"/>
    <w:link w:val="VoetnoottekstChar"/>
    <w:uiPriority w:val="99"/>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BD7A5A"/>
    <w:pPr>
      <w:ind w:left="720"/>
      <w:contextualSpacing/>
    </w:pPr>
  </w:style>
  <w:style w:type="character" w:styleId="Verwijzingopmerking">
    <w:name w:val="annotation reference"/>
    <w:basedOn w:val="Standaardalinea-lettertype"/>
    <w:semiHidden/>
    <w:unhideWhenUsed/>
    <w:rsid w:val="00D572E2"/>
    <w:rPr>
      <w:sz w:val="16"/>
      <w:szCs w:val="16"/>
    </w:rPr>
  </w:style>
  <w:style w:type="paragraph" w:styleId="Tekstopmerking">
    <w:name w:val="annotation text"/>
    <w:basedOn w:val="Standaard"/>
    <w:link w:val="TekstopmerkingChar"/>
    <w:semiHidden/>
    <w:unhideWhenUsed/>
    <w:rsid w:val="00D572E2"/>
    <w:rPr>
      <w:szCs w:val="20"/>
    </w:rPr>
  </w:style>
  <w:style w:type="character" w:customStyle="1" w:styleId="TekstopmerkingChar">
    <w:name w:val="Tekst opmerking Char"/>
    <w:basedOn w:val="Standaardalinea-lettertype"/>
    <w:link w:val="Tekstopmerking"/>
    <w:semiHidden/>
    <w:rsid w:val="00D572E2"/>
    <w:rPr>
      <w:rFonts w:ascii="Verdana" w:hAnsi="Verdana"/>
    </w:rPr>
  </w:style>
  <w:style w:type="paragraph" w:styleId="Onderwerpvanopmerking">
    <w:name w:val="annotation subject"/>
    <w:basedOn w:val="Tekstopmerking"/>
    <w:next w:val="Tekstopmerking"/>
    <w:link w:val="OnderwerpvanopmerkingChar"/>
    <w:semiHidden/>
    <w:unhideWhenUsed/>
    <w:rsid w:val="00D572E2"/>
    <w:rPr>
      <w:b/>
      <w:bCs/>
    </w:rPr>
  </w:style>
  <w:style w:type="character" w:customStyle="1" w:styleId="OnderwerpvanopmerkingChar">
    <w:name w:val="Onderwerp van opmerking Char"/>
    <w:basedOn w:val="TekstopmerkingChar"/>
    <w:link w:val="Onderwerpvanopmerking"/>
    <w:semiHidden/>
    <w:rsid w:val="00D572E2"/>
    <w:rPr>
      <w:rFonts w:ascii="Verdana" w:hAnsi="Verdana"/>
      <w:b/>
      <w:bCs/>
    </w:rPr>
  </w:style>
  <w:style w:type="paragraph" w:styleId="Ballontekst">
    <w:name w:val="Balloon Text"/>
    <w:basedOn w:val="Standaard"/>
    <w:link w:val="BallontekstChar"/>
    <w:semiHidden/>
    <w:unhideWhenUsed/>
    <w:rsid w:val="00D572E2"/>
    <w:rPr>
      <w:rFonts w:ascii="Segoe UI" w:hAnsi="Segoe UI" w:cs="Segoe UI"/>
      <w:sz w:val="18"/>
      <w:szCs w:val="18"/>
    </w:rPr>
  </w:style>
  <w:style w:type="character" w:customStyle="1" w:styleId="BallontekstChar">
    <w:name w:val="Ballontekst Char"/>
    <w:basedOn w:val="Standaardalinea-lettertype"/>
    <w:link w:val="Ballontekst"/>
    <w:semiHidden/>
    <w:rsid w:val="00D572E2"/>
    <w:rPr>
      <w:rFonts w:ascii="Segoe UI" w:hAnsi="Segoe UI" w:cs="Segoe UI"/>
      <w:sz w:val="18"/>
      <w:szCs w:val="18"/>
    </w:rPr>
  </w:style>
  <w:style w:type="character" w:styleId="Voetnootmarkering">
    <w:name w:val="footnote reference"/>
    <w:basedOn w:val="Standaardalinea-lettertype"/>
    <w:uiPriority w:val="99"/>
    <w:semiHidden/>
    <w:unhideWhenUsed/>
    <w:rsid w:val="00011878"/>
    <w:rPr>
      <w:vertAlign w:val="superscript"/>
    </w:rPr>
  </w:style>
  <w:style w:type="character" w:styleId="Hyperlink">
    <w:name w:val="Hyperlink"/>
    <w:basedOn w:val="Standaardalinea-lettertype"/>
    <w:uiPriority w:val="99"/>
    <w:unhideWhenUsed/>
    <w:rsid w:val="004C4E71"/>
    <w:rPr>
      <w:color w:val="0000FF" w:themeColor="hyperlink"/>
      <w:u w:val="single"/>
    </w:rPr>
  </w:style>
  <w:style w:type="paragraph" w:styleId="Normaalweb">
    <w:name w:val="Normal (Web)"/>
    <w:basedOn w:val="Standaard"/>
    <w:uiPriority w:val="99"/>
    <w:unhideWhenUsed/>
    <w:rsid w:val="004C4E71"/>
    <w:pPr>
      <w:spacing w:before="100" w:beforeAutospacing="1" w:after="100" w:afterAutospacing="1"/>
    </w:pPr>
    <w:rPr>
      <w:rFonts w:ascii="Times New Roman" w:hAnsi="Times New Roman"/>
      <w:sz w:val="24"/>
    </w:rPr>
  </w:style>
  <w:style w:type="character" w:customStyle="1" w:styleId="EindnoottekstChar">
    <w:name w:val="Eindnoottekst Char"/>
    <w:basedOn w:val="Standaardalinea-lettertype"/>
    <w:link w:val="Eindnoottekst"/>
    <w:uiPriority w:val="99"/>
    <w:rsid w:val="004C4E71"/>
    <w:rPr>
      <w:rFonts w:ascii="Verdana" w:hAnsi="Verdana"/>
      <w:szCs w:val="24"/>
    </w:rPr>
  </w:style>
  <w:style w:type="character" w:customStyle="1" w:styleId="Onopgelostemelding1">
    <w:name w:val="Onopgeloste melding1"/>
    <w:basedOn w:val="Standaardalinea-lettertype"/>
    <w:uiPriority w:val="99"/>
    <w:semiHidden/>
    <w:unhideWhenUsed/>
    <w:rsid w:val="00CC583A"/>
    <w:rPr>
      <w:color w:val="605E5C"/>
      <w:shd w:val="clear" w:color="auto" w:fill="E1DFDD"/>
    </w:rPr>
  </w:style>
  <w:style w:type="character" w:customStyle="1" w:styleId="VoetnoottekstChar">
    <w:name w:val="Voetnoottekst Char"/>
    <w:basedOn w:val="Standaardalinea-lettertype"/>
    <w:link w:val="Voetnoottekst"/>
    <w:uiPriority w:val="99"/>
    <w:rsid w:val="00BA45E8"/>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118090">
      <w:bodyDiv w:val="1"/>
      <w:marLeft w:val="0"/>
      <w:marRight w:val="0"/>
      <w:marTop w:val="0"/>
      <w:marBottom w:val="0"/>
      <w:divBdr>
        <w:top w:val="none" w:sz="0" w:space="0" w:color="auto"/>
        <w:left w:val="none" w:sz="0" w:space="0" w:color="auto"/>
        <w:bottom w:val="none" w:sz="0" w:space="0" w:color="auto"/>
        <w:right w:val="none" w:sz="0" w:space="0" w:color="auto"/>
      </w:divBdr>
    </w:div>
    <w:div w:id="436096607">
      <w:bodyDiv w:val="1"/>
      <w:marLeft w:val="0"/>
      <w:marRight w:val="0"/>
      <w:marTop w:val="0"/>
      <w:marBottom w:val="0"/>
      <w:divBdr>
        <w:top w:val="none" w:sz="0" w:space="0" w:color="auto"/>
        <w:left w:val="none" w:sz="0" w:space="0" w:color="auto"/>
        <w:bottom w:val="none" w:sz="0" w:space="0" w:color="auto"/>
        <w:right w:val="none" w:sz="0" w:space="0" w:color="auto"/>
      </w:divBdr>
    </w:div>
    <w:div w:id="1000541657">
      <w:bodyDiv w:val="1"/>
      <w:marLeft w:val="0"/>
      <w:marRight w:val="0"/>
      <w:marTop w:val="0"/>
      <w:marBottom w:val="0"/>
      <w:divBdr>
        <w:top w:val="none" w:sz="0" w:space="0" w:color="auto"/>
        <w:left w:val="none" w:sz="0" w:space="0" w:color="auto"/>
        <w:bottom w:val="none" w:sz="0" w:space="0" w:color="auto"/>
        <w:right w:val="none" w:sz="0" w:space="0" w:color="auto"/>
      </w:divBdr>
    </w:div>
    <w:div w:id="1044989933">
      <w:bodyDiv w:val="1"/>
      <w:marLeft w:val="0"/>
      <w:marRight w:val="0"/>
      <w:marTop w:val="0"/>
      <w:marBottom w:val="0"/>
      <w:divBdr>
        <w:top w:val="none" w:sz="0" w:space="0" w:color="auto"/>
        <w:left w:val="none" w:sz="0" w:space="0" w:color="auto"/>
        <w:bottom w:val="none" w:sz="0" w:space="0" w:color="auto"/>
        <w:right w:val="none" w:sz="0" w:space="0" w:color="auto"/>
      </w:divBdr>
    </w:div>
    <w:div w:id="1107892154">
      <w:bodyDiv w:val="1"/>
      <w:marLeft w:val="0"/>
      <w:marRight w:val="0"/>
      <w:marTop w:val="0"/>
      <w:marBottom w:val="0"/>
      <w:divBdr>
        <w:top w:val="none" w:sz="0" w:space="0" w:color="auto"/>
        <w:left w:val="none" w:sz="0" w:space="0" w:color="auto"/>
        <w:bottom w:val="none" w:sz="0" w:space="0" w:color="auto"/>
        <w:right w:val="none" w:sz="0" w:space="0" w:color="auto"/>
      </w:divBdr>
    </w:div>
    <w:div w:id="1816212831">
      <w:bodyDiv w:val="1"/>
      <w:marLeft w:val="0"/>
      <w:marRight w:val="0"/>
      <w:marTop w:val="0"/>
      <w:marBottom w:val="0"/>
      <w:divBdr>
        <w:top w:val="none" w:sz="0" w:space="0" w:color="auto"/>
        <w:left w:val="none" w:sz="0" w:space="0" w:color="auto"/>
        <w:bottom w:val="none" w:sz="0" w:space="0" w:color="auto"/>
        <w:right w:val="none" w:sz="0" w:space="0" w:color="auto"/>
      </w:divBdr>
      <w:divsChild>
        <w:div w:id="688914755">
          <w:marLeft w:val="0"/>
          <w:marRight w:val="0"/>
          <w:marTop w:val="0"/>
          <w:marBottom w:val="0"/>
          <w:divBdr>
            <w:top w:val="none" w:sz="0" w:space="0" w:color="auto"/>
            <w:left w:val="none" w:sz="0" w:space="0" w:color="auto"/>
            <w:bottom w:val="none" w:sz="0" w:space="0" w:color="auto"/>
            <w:right w:val="none" w:sz="0" w:space="0" w:color="auto"/>
          </w:divBdr>
          <w:divsChild>
            <w:div w:id="1945456787">
              <w:marLeft w:val="0"/>
              <w:marRight w:val="0"/>
              <w:marTop w:val="0"/>
              <w:marBottom w:val="0"/>
              <w:divBdr>
                <w:top w:val="none" w:sz="0" w:space="0" w:color="auto"/>
                <w:left w:val="none" w:sz="0" w:space="0" w:color="auto"/>
                <w:bottom w:val="none" w:sz="0" w:space="0" w:color="auto"/>
                <w:right w:val="none" w:sz="0" w:space="0" w:color="auto"/>
              </w:divBdr>
              <w:divsChild>
                <w:div w:id="177224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www.acm.nl/nl/organisatie/missie-visie-strategie/onze-missie" TargetMode="External"/><Relationship Id="rId1" Type="http://schemas.openxmlformats.org/officeDocument/2006/relationships/hyperlink" Target="https://www.oesorichtlijnen.nl/meldingen/documenten/publicatie/2020/02/11/final-statement-uni-global-union-vs.-veon"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59C265-D069-4A94-BC37-9961DCFCD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10724</Words>
  <Characters>58988</Characters>
  <Application>Microsoft Office Word</Application>
  <DocSecurity>4</DocSecurity>
  <Lines>491</Lines>
  <Paragraphs>139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 W E E D E   K A M E R   D E R   S T A T E N - G E N E R A A L                                                        2</vt:lpstr>
      <vt:lpstr>T W E E D E   K A M E R   D E R   S T A T E N - G E N E R A A L                                                        2</vt:lpstr>
    </vt:vector>
  </TitlesOfParts>
  <Company>TK</Company>
  <LinksUpToDate>false</LinksUpToDate>
  <CharactersWithSpaces>69573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W E E D E   K A M E R   D E R   S T A T E N - G E N E R A A L                                                        2</dc:title>
  <dc:creator>Ridder de A.</dc:creator>
  <cp:lastModifiedBy>Kuijsten, T.D.</cp:lastModifiedBy>
  <cp:revision>2</cp:revision>
  <cp:lastPrinted>2009-12-07T14:10:00Z</cp:lastPrinted>
  <dcterms:created xsi:type="dcterms:W3CDTF">2022-11-01T15:13:00Z</dcterms:created>
  <dcterms:modified xsi:type="dcterms:W3CDTF">2022-11-01T15:13:00Z</dcterms:modified>
</cp:coreProperties>
</file>